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600"/>
        <w:jc w:val="center"/>
      </w:pPr>
      <w:r>
        <w:drawing>
          <wp:inline distT="0" distB="0" distL="0" distR="0">
            <wp:extent cx="30480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048000" cy="342900"/>
                    </a:xfrm>
                    <a:prstGeom prst="rect">
                      <a:avLst/>
                    </a:prstGeom>
                  </pic:spPr>
                </pic:pic>
              </a:graphicData>
            </a:graphic>
          </wp:inline>
        </w:drawing>
      </w:r>
    </w:p>
    <w:p>
      <w:pPr>
        <w:spacing w:before="500"/>
        <w:jc w:val="center"/>
      </w:pPr>
      <w:r>
        <w:rPr>
          <w:rFonts w:ascii="Arial" w:cs="Arial" w:eastAsia="Arial" w:hAnsi="Arial"/>
          <w:b/>
          <w:bCs/>
          <w:color w:val="5B2D8E"/>
          <w:sz w:val="48"/>
          <w:szCs w:val="48"/>
        </w:rPr>
        <w:t xml:space="preserve">British Values &amp; Prevent Duty Statement</w:t>
      </w:r>
    </w:p>
    <w:p>
      <w:pPr>
        <w:spacing w:after="120" w:before="120"/>
        <w:jc w:val="center"/>
      </w:pPr>
      <w:r>
        <w:rPr>
          <w:rFonts w:ascii="Arial" w:cs="Arial" w:eastAsia="Arial" w:hAnsi="Arial"/>
          <w:b/>
          <w:bCs/>
          <w:color w:val="C9A84C"/>
          <w:sz w:val="28"/>
          <w:szCs w:val="28"/>
        </w:rPr>
        <w:t xml:space="preserve">Futures-Essex Ltd</w:t>
      </w:r>
    </w:p>
    <w:p>
      <w:pPr>
        <w:spacing w:after="500"/>
        <w:jc w:val="center"/>
      </w:pPr>
      <w:r>
        <w:rPr>
          <w:rFonts w:ascii="Arial" w:cs="Arial" w:eastAsia="Arial" w:hAnsi="Arial"/>
          <w:i/>
          <w:iCs/>
          <w:color w:val="262626"/>
          <w:sz w:val="22"/>
          <w:szCs w:val="22"/>
        </w:rPr>
        <w:t xml:space="preserve">Academic Year 2026–2027</w:t>
      </w:r>
    </w:p>
    <w:p>
      <w:pPr>
        <w:pBdr>
          <w:bottom w:val="single" w:color="C9A84C" w:sz="16" w:space="1"/>
        </w:pBdr>
        <w:spacing w:after="500"/>
      </w:pPr>
    </w:p>
    <w:tbl>
      <w:tblPr>
        <w:tblW w:type="pct" w:w="100%"/>
        <w:tblBorders>
          <w:top w:val="single" w:color="C9A84C" w:sz="4"/>
          <w:left w:val="single" w:color="C9A84C" w:sz="4"/>
          <w:bottom w:val="single" w:color="C9A84C" w:sz="4"/>
          <w:right w:val="single" w:color="C9A84C" w:sz="4"/>
          <w:insideH w:val="single" w:color="C9A84C" w:sz="4"/>
          <w:insideV w:val="single" w:color="C9A84C" w:sz="4"/>
        </w:tblBorders>
      </w:tblPr>
      <w:tblGrid>
        <w:gridCol w:w="100"/>
        <w:gridCol w:w="100"/>
      </w:tblGrid>
      <w:tr>
        <w:tc>
          <w:tcPr>
            <w:tcW w:type="pct" w:w="35%"/>
            <w:shd w:fill="F1EAFB" w:val="clear"/>
            <w:tcMar>
              <w:top w:type="dxa" w:w="100"/>
              <w:left w:type="dxa" w:w="150"/>
              <w:bottom w:type="dxa" w:w="100"/>
              <w:right w:type="dxa" w:w="150"/>
            </w:tcMar>
            <w:vAlign w:val="center"/>
          </w:tcPr>
          <w:p>
            <w:r>
              <w:rPr>
                <w:rFonts w:ascii="Arial" w:cs="Arial" w:eastAsia="Arial" w:hAnsi="Arial"/>
                <w:b/>
                <w:bCs/>
                <w:color w:val="5B2D8E"/>
                <w:sz w:val="20"/>
                <w:szCs w:val="20"/>
              </w:rPr>
              <w:t xml:space="preserve">Organisation</w:t>
            </w:r>
          </w:p>
        </w:tc>
        <w:tc>
          <w:tcPr>
            <w:tcW w:type="pct" w:w="65%"/>
            <w:tcMar>
              <w:top w:type="dxa" w:w="100"/>
              <w:left w:type="dxa" w:w="150"/>
              <w:bottom w:type="dxa" w:w="100"/>
              <w:right w:type="dxa" w:w="150"/>
            </w:tcMar>
            <w:vAlign w:val="center"/>
          </w:tcPr>
          <w:p>
            <w:r>
              <w:rPr>
                <w:rFonts w:ascii="Arial" w:cs="Arial" w:eastAsia="Arial" w:hAnsi="Arial"/>
                <w:color w:val="262626"/>
                <w:sz w:val="20"/>
                <w:szCs w:val="20"/>
              </w:rPr>
              <w:t xml:space="preserve">Futures-Essex Ltd</w:t>
            </w:r>
          </w:p>
        </w:tc>
      </w:tr>
      <w:tr>
        <w:tc>
          <w:tcPr>
            <w:tcW w:type="pct" w:w="35%"/>
            <w:shd w:fill="F1EAFB" w:val="clear"/>
            <w:tcMar>
              <w:top w:type="dxa" w:w="100"/>
              <w:left w:type="dxa" w:w="150"/>
              <w:bottom w:type="dxa" w:w="100"/>
              <w:right w:type="dxa" w:w="150"/>
            </w:tcMar>
            <w:vAlign w:val="center"/>
          </w:tcPr>
          <w:p>
            <w:r>
              <w:rPr>
                <w:rFonts w:ascii="Arial" w:cs="Arial" w:eastAsia="Arial" w:hAnsi="Arial"/>
                <w:b/>
                <w:bCs/>
                <w:color w:val="5B2D8E"/>
                <w:sz w:val="20"/>
                <w:szCs w:val="20"/>
              </w:rPr>
              <w:t xml:space="preserve">Policy Title</w:t>
            </w:r>
          </w:p>
        </w:tc>
        <w:tc>
          <w:tcPr>
            <w:tcW w:type="pct" w:w="65%"/>
            <w:tcMar>
              <w:top w:type="dxa" w:w="100"/>
              <w:left w:type="dxa" w:w="150"/>
              <w:bottom w:type="dxa" w:w="100"/>
              <w:right w:type="dxa" w:w="150"/>
            </w:tcMar>
            <w:vAlign w:val="center"/>
          </w:tcPr>
          <w:p>
            <w:r>
              <w:rPr>
                <w:rFonts w:ascii="Arial" w:cs="Arial" w:eastAsia="Arial" w:hAnsi="Arial"/>
                <w:color w:val="262626"/>
                <w:sz w:val="20"/>
                <w:szCs w:val="20"/>
              </w:rPr>
              <w:t xml:space="preserve">British Values &amp; Prevent Duty Statement</w:t>
            </w:r>
          </w:p>
        </w:tc>
      </w:tr>
      <w:tr>
        <w:tc>
          <w:tcPr>
            <w:tcW w:type="pct" w:w="35%"/>
            <w:shd w:fill="F1EAFB" w:val="clear"/>
            <w:tcMar>
              <w:top w:type="dxa" w:w="100"/>
              <w:left w:type="dxa" w:w="150"/>
              <w:bottom w:type="dxa" w:w="100"/>
              <w:right w:type="dxa" w:w="150"/>
            </w:tcMar>
            <w:vAlign w:val="center"/>
          </w:tcPr>
          <w:p>
            <w:r>
              <w:rPr>
                <w:rFonts w:ascii="Arial" w:cs="Arial" w:eastAsia="Arial" w:hAnsi="Arial"/>
                <w:b/>
                <w:bCs/>
                <w:color w:val="5B2D8E"/>
                <w:sz w:val="20"/>
                <w:szCs w:val="20"/>
              </w:rPr>
              <w:t xml:space="preserve">Applies to</w:t>
            </w:r>
          </w:p>
        </w:tc>
        <w:tc>
          <w:tcPr>
            <w:tcW w:type="pct" w:w="65%"/>
            <w:tcMar>
              <w:top w:type="dxa" w:w="100"/>
              <w:left w:type="dxa" w:w="150"/>
              <w:bottom w:type="dxa" w:w="100"/>
              <w:right w:type="dxa" w:w="150"/>
            </w:tcMar>
            <w:vAlign w:val="center"/>
          </w:tcPr>
          <w:p>
            <w:r>
              <w:rPr>
                <w:rFonts w:ascii="Arial" w:cs="Arial" w:eastAsia="Arial" w:hAnsi="Arial"/>
                <w:color w:val="262626"/>
                <w:sz w:val="20"/>
                <w:szCs w:val="20"/>
              </w:rPr>
              <w:t xml:space="preserve">All staff, contractors, young people and volunteers</w:t>
            </w:r>
          </w:p>
        </w:tc>
      </w:tr>
      <w:tr>
        <w:tc>
          <w:tcPr>
            <w:tcW w:type="pct" w:w="35%"/>
            <w:shd w:fill="F1EAFB" w:val="clear"/>
            <w:tcMar>
              <w:top w:type="dxa" w:w="100"/>
              <w:left w:type="dxa" w:w="150"/>
              <w:bottom w:type="dxa" w:w="100"/>
              <w:right w:type="dxa" w:w="150"/>
            </w:tcMar>
            <w:vAlign w:val="center"/>
          </w:tcPr>
          <w:p>
            <w:r>
              <w:rPr>
                <w:rFonts w:ascii="Arial" w:cs="Arial" w:eastAsia="Arial" w:hAnsi="Arial"/>
                <w:b/>
                <w:bCs/>
                <w:color w:val="5B2D8E"/>
                <w:sz w:val="20"/>
                <w:szCs w:val="20"/>
              </w:rPr>
              <w:t xml:space="preserve">Approved by</w:t>
            </w:r>
          </w:p>
        </w:tc>
        <w:tc>
          <w:tcPr>
            <w:tcW w:type="pct" w:w="65%"/>
            <w:tcMar>
              <w:top w:type="dxa" w:w="100"/>
              <w:left w:type="dxa" w:w="150"/>
              <w:bottom w:type="dxa" w:w="100"/>
              <w:right w:type="dxa" w:w="150"/>
            </w:tcMar>
            <w:vAlign w:val="center"/>
          </w:tcPr>
          <w:p>
            <w:r>
              <w:rPr>
                <w:rFonts w:ascii="Arial" w:cs="Arial" w:eastAsia="Arial" w:hAnsi="Arial"/>
                <w:color w:val="262626"/>
                <w:sz w:val="20"/>
                <w:szCs w:val="20"/>
              </w:rPr>
              <w:t xml:space="preserve">Lauren Collin, CEO</w:t>
            </w:r>
          </w:p>
        </w:tc>
      </w:tr>
      <w:tr>
        <w:tc>
          <w:tcPr>
            <w:tcW w:type="pct" w:w="35%"/>
            <w:shd w:fill="F1EAFB" w:val="clear"/>
            <w:tcMar>
              <w:top w:type="dxa" w:w="100"/>
              <w:left w:type="dxa" w:w="150"/>
              <w:bottom w:type="dxa" w:w="100"/>
              <w:right w:type="dxa" w:w="150"/>
            </w:tcMar>
            <w:vAlign w:val="center"/>
          </w:tcPr>
          <w:p>
            <w:r>
              <w:rPr>
                <w:rFonts w:ascii="Arial" w:cs="Arial" w:eastAsia="Arial" w:hAnsi="Arial"/>
                <w:b/>
                <w:bCs/>
                <w:color w:val="5B2D8E"/>
                <w:sz w:val="20"/>
                <w:szCs w:val="20"/>
              </w:rPr>
              <w:t xml:space="preserve">Last reviewed on</w:t>
            </w:r>
          </w:p>
        </w:tc>
        <w:tc>
          <w:tcPr>
            <w:tcW w:type="pct" w:w="65%"/>
            <w:tcMar>
              <w:top w:type="dxa" w:w="100"/>
              <w:left w:type="dxa" w:w="150"/>
              <w:bottom w:type="dxa" w:w="100"/>
              <w:right w:type="dxa" w:w="150"/>
            </w:tcMar>
            <w:vAlign w:val="center"/>
          </w:tcPr>
          <w:p>
            <w:r>
              <w:rPr>
                <w:rFonts w:ascii="Arial" w:cs="Arial" w:eastAsia="Arial" w:hAnsi="Arial"/>
                <w:color w:val="262626"/>
                <w:sz w:val="20"/>
                <w:szCs w:val="20"/>
              </w:rPr>
              <w:t xml:space="preserve">[Date] 2026</w:t>
            </w:r>
          </w:p>
        </w:tc>
      </w:tr>
      <w:tr>
        <w:tc>
          <w:tcPr>
            <w:tcW w:type="pct" w:w="35%"/>
            <w:shd w:fill="F1EAFB" w:val="clear"/>
            <w:tcMar>
              <w:top w:type="dxa" w:w="100"/>
              <w:left w:type="dxa" w:w="150"/>
              <w:bottom w:type="dxa" w:w="100"/>
              <w:right w:type="dxa" w:w="150"/>
            </w:tcMar>
            <w:vAlign w:val="center"/>
          </w:tcPr>
          <w:p>
            <w:r>
              <w:rPr>
                <w:rFonts w:ascii="Arial" w:cs="Arial" w:eastAsia="Arial" w:hAnsi="Arial"/>
                <w:b/>
                <w:bCs/>
                <w:color w:val="5B2D8E"/>
                <w:sz w:val="20"/>
                <w:szCs w:val="20"/>
              </w:rPr>
              <w:t xml:space="preserve">Next review due by</w:t>
            </w:r>
          </w:p>
        </w:tc>
        <w:tc>
          <w:tcPr>
            <w:tcW w:type="pct" w:w="65%"/>
            <w:tcMar>
              <w:top w:type="dxa" w:w="100"/>
              <w:left w:type="dxa" w:w="150"/>
              <w:bottom w:type="dxa" w:w="100"/>
              <w:right w:type="dxa" w:w="150"/>
            </w:tcMar>
            <w:vAlign w:val="center"/>
          </w:tcPr>
          <w:p>
            <w:r>
              <w:rPr>
                <w:rFonts w:ascii="Arial" w:cs="Arial" w:eastAsia="Arial" w:hAnsi="Arial"/>
                <w:color w:val="262626"/>
                <w:sz w:val="20"/>
                <w:szCs w:val="20"/>
              </w:rPr>
              <w:t xml:space="preserve">June 2027 (or sooner following updated guidance)</w:t>
            </w:r>
          </w:p>
        </w:tc>
      </w:tr>
      <w:tr>
        <w:tc>
          <w:tcPr>
            <w:tcW w:type="pct" w:w="35%"/>
            <w:shd w:fill="F1EAFB" w:val="clear"/>
            <w:tcMar>
              <w:top w:type="dxa" w:w="100"/>
              <w:left w:type="dxa" w:w="150"/>
              <w:bottom w:type="dxa" w:w="100"/>
              <w:right w:type="dxa" w:w="150"/>
            </w:tcMar>
            <w:vAlign w:val="center"/>
          </w:tcPr>
          <w:p>
            <w:r>
              <w:rPr>
                <w:rFonts w:ascii="Arial" w:cs="Arial" w:eastAsia="Arial" w:hAnsi="Arial"/>
                <w:b/>
                <w:bCs/>
                <w:color w:val="5B2D8E"/>
                <w:sz w:val="20"/>
                <w:szCs w:val="20"/>
              </w:rPr>
              <w:t xml:space="preserve">Effective</w:t>
            </w:r>
          </w:p>
        </w:tc>
        <w:tc>
          <w:tcPr>
            <w:tcW w:type="pct" w:w="65%"/>
            <w:tcMar>
              <w:top w:type="dxa" w:w="100"/>
              <w:left w:type="dxa" w:w="150"/>
              <w:bottom w:type="dxa" w:w="100"/>
              <w:right w:type="dxa" w:w="150"/>
            </w:tcMar>
            <w:vAlign w:val="center"/>
          </w:tcPr>
          <w:p>
            <w:r>
              <w:rPr>
                <w:rFonts w:ascii="Arial" w:cs="Arial" w:eastAsia="Arial" w:hAnsi="Arial"/>
                <w:color w:val="262626"/>
                <w:sz w:val="20"/>
                <w:szCs w:val="20"/>
              </w:rPr>
              <w:t xml:space="preserve">Academic Year 2026–2027</w:t>
            </w:r>
          </w:p>
        </w:tc>
      </w:tr>
      <w:tr>
        <w:tc>
          <w:tcPr>
            <w:tcW w:type="pct" w:w="35%"/>
            <w:shd w:fill="F1EAFB" w:val="clear"/>
            <w:tcMar>
              <w:top w:type="dxa" w:w="100"/>
              <w:left w:type="dxa" w:w="150"/>
              <w:bottom w:type="dxa" w:w="100"/>
              <w:right w:type="dxa" w:w="150"/>
            </w:tcMar>
            <w:vAlign w:val="center"/>
          </w:tcPr>
          <w:p>
            <w:r>
              <w:rPr>
                <w:rFonts w:ascii="Arial" w:cs="Arial" w:eastAsia="Arial" w:hAnsi="Arial"/>
                <w:b/>
                <w:bCs/>
                <w:color w:val="5B2D8E"/>
                <w:sz w:val="20"/>
                <w:szCs w:val="20"/>
              </w:rPr>
              <w:t xml:space="preserve">Version</w:t>
            </w:r>
          </w:p>
        </w:tc>
        <w:tc>
          <w:tcPr>
            <w:tcW w:type="pct" w:w="65%"/>
            <w:tcMar>
              <w:top w:type="dxa" w:w="100"/>
              <w:left w:type="dxa" w:w="150"/>
              <w:bottom w:type="dxa" w:w="100"/>
              <w:right w:type="dxa" w:w="150"/>
            </w:tcMar>
            <w:vAlign w:val="center"/>
          </w:tcPr>
          <w:p>
            <w:r>
              <w:rPr>
                <w:rFonts w:ascii="Arial" w:cs="Arial" w:eastAsia="Arial" w:hAnsi="Arial"/>
                <w:color w:val="262626"/>
                <w:sz w:val="20"/>
                <w:szCs w:val="20"/>
              </w:rPr>
              <w:t xml:space="preserve">2.1</w:t>
            </w:r>
          </w:p>
        </w:tc>
      </w:tr>
      <w:tr>
        <w:tc>
          <w:tcPr>
            <w:tcW w:type="pct" w:w="35%"/>
            <w:shd w:fill="F1EAFB" w:val="clear"/>
            <w:tcMar>
              <w:top w:type="dxa" w:w="100"/>
              <w:left w:type="dxa" w:w="150"/>
              <w:bottom w:type="dxa" w:w="100"/>
              <w:right w:type="dxa" w:w="150"/>
            </w:tcMar>
            <w:vAlign w:val="center"/>
          </w:tcPr>
          <w:p>
            <w:r>
              <w:rPr>
                <w:rFonts w:ascii="Arial" w:cs="Arial" w:eastAsia="Arial" w:hAnsi="Arial"/>
                <w:b/>
                <w:bCs/>
                <w:color w:val="5B2D8E"/>
                <w:sz w:val="20"/>
                <w:szCs w:val="20"/>
              </w:rPr>
              <w:t xml:space="preserve">Reference</w:t>
            </w:r>
          </w:p>
        </w:tc>
        <w:tc>
          <w:tcPr>
            <w:tcW w:type="pct" w:w="65%"/>
            <w:tcMar>
              <w:top w:type="dxa" w:w="100"/>
              <w:left w:type="dxa" w:w="150"/>
              <w:bottom w:type="dxa" w:w="100"/>
              <w:right w:type="dxa" w:w="150"/>
            </w:tcMar>
            <w:vAlign w:val="center"/>
          </w:tcPr>
          <w:p>
            <w:r>
              <w:rPr>
                <w:rFonts w:ascii="Arial" w:cs="Arial" w:eastAsia="Arial" w:hAnsi="Arial"/>
                <w:color w:val="262626"/>
                <w:sz w:val="20"/>
                <w:szCs w:val="20"/>
              </w:rPr>
              <w:t xml:space="preserve">DfE Non-School AP Voluntary National Standards, August 2025</w:t>
            </w:r>
          </w:p>
        </w:tc>
      </w:tr>
    </w:tbl>
    <w:p>
      <w:r>
        <w:br w:type="page"/>
      </w:r>
    </w:p>
    <w:p>
      <w:pPr>
        <w:pStyle w:val="Heading1"/>
        <w:spacing w:after="200"/>
      </w:pPr>
      <w:r>
        <w:rPr>
          <w:rFonts w:ascii="Arial" w:cs="Arial" w:eastAsia="Arial" w:hAnsi="Arial"/>
          <w:b/>
          <w:bCs/>
          <w:color w:val="5B2D8E"/>
          <w:sz w:val="30"/>
          <w:szCs w:val="30"/>
        </w:rPr>
        <w:t xml:space="preserve">Contents</w:t>
      </w:r>
    </w:p>
    <w:p>
      <w:pPr>
        <w:pBdr>
          <w:bottom w:val="single" w:color="C9A84C" w:sz="12" w:space="1"/>
        </w:pBdr>
        <w:spacing w:after="200"/>
      </w:pPr>
    </w:p>
    <w:sdt>
      <w:sdtPr>
        <w:alias w:val="Contents"/>
      </w:sdtPr>
      <w:sdtContent>
        <w:p>
          <w:r>
            <w:fldChar w:fldCharType="begin" w:dirty="true"/>
            <w:instrText xml:space="preserve">TOC \h \o "1-2"</w:instrText>
            <w:fldChar w:fldCharType="separate"/>
          </w:r>
        </w:p>
        <w:p>
          <w:r>
            <w:fldChar w:fldCharType="end"/>
          </w:r>
        </w:p>
      </w:sdtContent>
    </w:sdt>
    <w:p>
      <w:r>
        <w:br w:type="page"/>
      </w:r>
    </w:p>
    <w:tbl>
      <w:tblPr>
        <w:tblW w:type="pct" w:w="100%"/>
        <w:tblBorders>
          <w:top w:val="single" w:color="C9A84C" w:sz="6"/>
          <w:left w:val="single" w:color="C9A84C" w:sz="6"/>
          <w:bottom w:val="single" w:color="C9A84C" w:sz="6"/>
          <w:right w:val="single" w:color="C9A84C" w:sz="6"/>
          <w:insideH w:val="none" w:color="FFFFFF" w:sz="0"/>
          <w:insideV w:val="none" w:color="FFFFFF" w:sz="0"/>
        </w:tblBorders>
      </w:tblPr>
      <w:tblGrid>
        <w:gridCol w:w="100"/>
      </w:tblGrid>
      <w:tr>
        <w:tc>
          <w:tcPr>
            <w:shd w:fill="F1EAFB" w:val="clear"/>
            <w:tcMar>
              <w:top w:type="dxa" w:w="160"/>
              <w:left w:type="dxa" w:w="220"/>
              <w:bottom w:type="dxa" w:w="160"/>
              <w:right w:type="dxa" w:w="220"/>
            </w:tcMar>
          </w:tcPr>
          <w:p>
            <w:pPr>
              <w:spacing w:after="80" w:line="270"/>
            </w:pPr>
            <w:r>
              <w:rPr>
                <w:rFonts w:ascii="Arial" w:cs="Arial" w:eastAsia="Arial" w:hAnsi="Arial"/>
                <w:b/>
                <w:bCs/>
                <w:i w:val="false"/>
                <w:iCs w:val="false"/>
                <w:color w:val="262626"/>
                <w:sz w:val="20"/>
                <w:szCs w:val="20"/>
              </w:rPr>
              <w:t xml:space="preserve">Voluntary AP Standards Alignment</w:t>
            </w:r>
          </w:p>
          <w:p>
            <w:pPr>
              <w:spacing w:after="80" w:line="270"/>
            </w:pPr>
            <w:r>
              <w:rPr>
                <w:rFonts w:ascii="Arial" w:cs="Arial" w:eastAsia="Arial" w:hAnsi="Arial"/>
                <w:b w:val="false"/>
                <w:bCs w:val="false"/>
                <w:i/>
                <w:iCs/>
                <w:color w:val="262626"/>
                <w:sz w:val="20"/>
                <w:szCs w:val="20"/>
              </w:rPr>
              <w:t xml:space="preserve">This statement has been written with reference to the DfE Non-School Alternative Provision: Voluntary National Standards (August 2025). Relevant standards are noted throughout using the gold reference tags. Futures-Essex Ltd is committed to self-evaluating against these standards and preparing for quality assurance visits.</w:t>
            </w:r>
          </w:p>
          <w:p>
            <w:pPr>
              <w:spacing w:after="0" w:line="270"/>
            </w:pPr>
            <w:r>
              <w:rPr>
                <w:rFonts w:ascii="Arial" w:cs="Arial" w:eastAsia="Arial" w:hAnsi="Arial"/>
                <w:b w:val="false"/>
                <w:bCs w:val="false"/>
                <w:i/>
                <w:iCs/>
                <w:color w:val="262626"/>
                <w:sz w:val="20"/>
                <w:szCs w:val="20"/>
              </w:rPr>
              <w:t xml:space="preserve">The standards cover four themes: (1) Safeguarding and the welfare of children, (2) Health and safety, (3) Admissions, support and guidance, and (4) Quality of education.</w:t>
            </w:r>
          </w:p>
        </w:tc>
      </w:tr>
    </w:tbl>
    <w:p>
      <w:pPr>
        <w:spacing w:after="200"/>
      </w:pPr>
    </w:p>
    <w:p>
      <w:pPr>
        <w:pStyle w:val="Heading1"/>
        <w:pBdr>
          <w:bottom w:val="single" w:color="C9A84C" w:sz="8" w:space="4"/>
        </w:pBdr>
        <w:spacing w:after="160" w:before="360"/>
      </w:pPr>
      <w:r>
        <w:rPr>
          <w:rFonts w:ascii="Arial" w:cs="Arial" w:eastAsia="Arial" w:hAnsi="Arial"/>
          <w:b/>
          <w:bCs/>
          <w:color w:val="5B2D8E"/>
          <w:sz w:val="30"/>
          <w:szCs w:val="30"/>
        </w:rPr>
        <w:t xml:space="preserve">1. Introduction</w:t>
      </w:r>
    </w:p>
    <w:p>
      <w:pPr>
        <w:spacing w:after="160" w:line="276"/>
      </w:pPr>
      <w:r>
        <w:rPr>
          <w:rFonts w:ascii="Arial" w:cs="Arial" w:eastAsia="Arial" w:hAnsi="Arial"/>
          <w:b w:val="false"/>
          <w:bCs w:val="false"/>
          <w:i w:val="false"/>
          <w:iCs w:val="false"/>
          <w:color w:val="262626"/>
          <w:sz w:val="21"/>
          <w:szCs w:val="21"/>
        </w:rPr>
        <w:t xml:space="preserve">At Futures-Essex, we are committed to promoting the fundamental British Values of democracy, the rule of law, individual liberty, mutual respect, and tolerance of those with different faiths and beliefs. These values underpin our therapeutic, relational and trauma-informed approach, and are embedded throughout our curriculum, enrichment activities, daily interactions and wider provision.</w:t>
      </w:r>
    </w:p>
    <w:p>
      <w:pPr>
        <w:spacing w:after="160" w:line="276"/>
      </w:pPr>
      <w:r>
        <w:rPr>
          <w:rFonts w:ascii="Arial" w:cs="Arial" w:eastAsia="Arial" w:hAnsi="Arial"/>
          <w:b w:val="false"/>
          <w:bCs w:val="false"/>
          <w:i w:val="false"/>
          <w:iCs w:val="false"/>
          <w:color w:val="262626"/>
          <w:sz w:val="21"/>
          <w:szCs w:val="21"/>
        </w:rPr>
        <w:t xml:space="preserve">As an alternative provision supporting young people with a range of needs — including Social, Emotional and Mental Health (SEMH), Special Educational Needs and Disabilities (SEND), Autism Spectrum Disorder (ASD), Attention Deficit Hyperactivity Disorder (ADHD), Emotionally Based School Avoidance (EBSA) and experiences of trauma — we recognise our responsibility to prepare learners for life in modern Britain by promoting inclusion, respect, critical thinking and active participation in society.</w:t>
      </w:r>
    </w:p>
    <w:p>
      <w:pPr>
        <w:spacing w:after="160" w:line="276"/>
      </w:pPr>
      <w:r>
        <w:rPr>
          <w:rFonts w:ascii="Arial" w:cs="Arial" w:eastAsia="Arial" w:hAnsi="Arial"/>
          <w:b w:val="false"/>
          <w:bCs w:val="false"/>
          <w:i w:val="false"/>
          <w:iCs w:val="false"/>
          <w:color w:val="262626"/>
          <w:sz w:val="21"/>
          <w:szCs w:val="21"/>
        </w:rPr>
        <w:t xml:space="preserve">We are equally committed to fulfilling our responsibilities under Section 26 of the Counter-Terrorism and Security Act 2015 (the Prevent Duty), safeguarding learners from radicalisation, extremism and harmful influences.</w:t>
      </w:r>
    </w:p>
    <w:tbl>
      <w:tblPr>
        <w:tblW w:type="pct" w:w="100%"/>
        <w:tblBorders>
          <w:top w:val="single" w:color="C9A84C" w:sz="4"/>
          <w:left w:val="single" w:color="C9A84C" w:sz="4"/>
          <w:bottom w:val="single" w:color="C9A84C" w:sz="4"/>
          <w:right w:val="single" w:color="C9A84C" w:sz="4"/>
          <w:insideH w:val="none" w:color="FFFFFF" w:sz="0"/>
          <w:insideV w:val="none" w:color="FFFFFF" w:sz="0"/>
        </w:tblBorders>
      </w:tblPr>
      <w:tblGrid>
        <w:gridCol w:w="100"/>
        <w:gridCol w:w="100"/>
      </w:tblGrid>
      <w:tr>
        <w:tc>
          <w:tcPr>
            <w:tcW w:type="pct" w:w="22%"/>
            <w:shd w:fill="5B2D8E" w:val="clear"/>
            <w:tcMar>
              <w:top w:type="dxa" w:w="90"/>
              <w:left w:type="dxa" w:w="130"/>
              <w:bottom w:type="dxa" w:w="90"/>
              <w:right w:type="dxa" w:w="100"/>
            </w:tcMar>
            <w:vAlign w:val="center"/>
          </w:tcPr>
          <w:p>
            <w:r>
              <w:rPr>
                <w:rFonts w:ascii="Arial" w:cs="Arial" w:eastAsia="Arial" w:hAnsi="Arial"/>
                <w:b/>
                <w:bCs/>
                <w:color w:val="FFFFFF"/>
                <w:sz w:val="16"/>
                <w:szCs w:val="16"/>
              </w:rPr>
              <w:t xml:space="preserve">AP Standard Part 4</w:t>
            </w:r>
          </w:p>
        </w:tc>
        <w:tc>
          <w:tcPr>
            <w:tcW w:type="pct" w:w="78%"/>
            <w:shd w:fill="FBF7EC" w:val="clear"/>
            <w:tcMar>
              <w:top w:type="dxa" w:w="90"/>
              <w:left w:type="dxa" w:w="130"/>
              <w:bottom w:type="dxa" w:w="90"/>
              <w:right w:type="dxa" w:w="130"/>
            </w:tcMar>
            <w:vAlign w:val="center"/>
          </w:tcPr>
          <w:p>
            <w:r>
              <w:rPr>
                <w:rFonts w:ascii="Arial" w:cs="Arial" w:eastAsia="Arial" w:hAnsi="Arial"/>
                <w:i/>
                <w:iCs/>
                <w:color w:val="262626"/>
                <w:sz w:val="17"/>
                <w:szCs w:val="17"/>
              </w:rPr>
              <w:t xml:space="preserve">Quality of education standard: provision should promote learners' personal development, including their spiritual, moral, social and cultural growth and preparation for life in modern Britain.</w:t>
            </w:r>
          </w:p>
        </w:tc>
      </w:tr>
    </w:tbl>
    <w:p>
      <w:pPr>
        <w:spacing w:after="120"/>
      </w:pPr>
    </w:p>
    <w:p>
      <w:pPr>
        <w:pStyle w:val="Heading1"/>
        <w:pBdr>
          <w:bottom w:val="single" w:color="C9A84C" w:sz="8" w:space="4"/>
        </w:pBdr>
        <w:spacing w:after="160" w:before="360"/>
      </w:pPr>
      <w:r>
        <w:rPr>
          <w:rFonts w:ascii="Arial" w:cs="Arial" w:eastAsia="Arial" w:hAnsi="Arial"/>
          <w:b/>
          <w:bCs/>
          <w:color w:val="5B2D8E"/>
          <w:sz w:val="30"/>
          <w:szCs w:val="30"/>
        </w:rPr>
        <w:t xml:space="preserve">2. Aims</w:t>
      </w:r>
    </w:p>
    <w:p>
      <w:pPr>
        <w:spacing w:after="160" w:line="276"/>
      </w:pPr>
      <w:r>
        <w:rPr>
          <w:rFonts w:ascii="Arial" w:cs="Arial" w:eastAsia="Arial" w:hAnsi="Arial"/>
          <w:b w:val="false"/>
          <w:bCs w:val="false"/>
          <w:i w:val="false"/>
          <w:iCs w:val="false"/>
          <w:color w:val="262626"/>
          <w:sz w:val="21"/>
          <w:szCs w:val="21"/>
        </w:rPr>
        <w:t xml:space="preserve">Through our provision, we aim to:</w:t>
      </w:r>
    </w:p>
    <w:p>
      <w:pPr>
        <w:pStyle w:val="ListParagraph"/>
        <w:numPr>
          <w:ilvl w:val="0"/>
          <w:numId w:val="2"/>
        </w:numPr>
        <w:spacing w:after="90" w:line="276"/>
      </w:pPr>
      <w:r>
        <w:rPr>
          <w:rFonts w:ascii="Arial" w:cs="Arial" w:eastAsia="Arial" w:hAnsi="Arial"/>
          <w:color w:val="262626"/>
          <w:sz w:val="21"/>
          <w:szCs w:val="21"/>
        </w:rPr>
        <w:t xml:space="preserve">Promote the spiritual, moral, social and cultural development of all learners</w:t>
      </w:r>
    </w:p>
    <w:p>
      <w:pPr>
        <w:pStyle w:val="ListParagraph"/>
        <w:numPr>
          <w:ilvl w:val="0"/>
          <w:numId w:val="2"/>
        </w:numPr>
        <w:spacing w:after="90" w:line="276"/>
      </w:pPr>
      <w:r>
        <w:rPr>
          <w:rFonts w:ascii="Arial" w:cs="Arial" w:eastAsia="Arial" w:hAnsi="Arial"/>
          <w:color w:val="262626"/>
          <w:sz w:val="21"/>
          <w:szCs w:val="21"/>
        </w:rPr>
        <w:t xml:space="preserve">Encourage respect for democracy, law and individual rights</w:t>
      </w:r>
    </w:p>
    <w:p>
      <w:pPr>
        <w:pStyle w:val="ListParagraph"/>
        <w:numPr>
          <w:ilvl w:val="0"/>
          <w:numId w:val="2"/>
        </w:numPr>
        <w:spacing w:after="90" w:line="276"/>
      </w:pPr>
      <w:r>
        <w:rPr>
          <w:rFonts w:ascii="Arial" w:cs="Arial" w:eastAsia="Arial" w:hAnsi="Arial"/>
          <w:color w:val="262626"/>
          <w:sz w:val="21"/>
          <w:szCs w:val="21"/>
        </w:rPr>
        <w:t xml:space="preserve">Develop learners' confidence, resilience and independence</w:t>
      </w:r>
    </w:p>
    <w:p>
      <w:pPr>
        <w:pStyle w:val="ListParagraph"/>
        <w:numPr>
          <w:ilvl w:val="0"/>
          <w:numId w:val="2"/>
        </w:numPr>
        <w:spacing w:after="90" w:line="276"/>
      </w:pPr>
      <w:r>
        <w:rPr>
          <w:rFonts w:ascii="Arial" w:cs="Arial" w:eastAsia="Arial" w:hAnsi="Arial"/>
          <w:color w:val="262626"/>
          <w:sz w:val="21"/>
          <w:szCs w:val="21"/>
        </w:rPr>
        <w:t xml:space="preserve">Foster positive relationships built on empathy, understanding and mutual respect</w:t>
      </w:r>
    </w:p>
    <w:p>
      <w:pPr>
        <w:pStyle w:val="ListParagraph"/>
        <w:numPr>
          <w:ilvl w:val="0"/>
          <w:numId w:val="2"/>
        </w:numPr>
        <w:spacing w:after="90" w:line="276"/>
      </w:pPr>
      <w:r>
        <w:rPr>
          <w:rFonts w:ascii="Arial" w:cs="Arial" w:eastAsia="Arial" w:hAnsi="Arial"/>
          <w:color w:val="262626"/>
          <w:sz w:val="21"/>
          <w:szCs w:val="21"/>
        </w:rPr>
        <w:t xml:space="preserve">Prepare young people for life in modern Britain and future employment</w:t>
      </w:r>
    </w:p>
    <w:p>
      <w:pPr>
        <w:pStyle w:val="ListParagraph"/>
        <w:numPr>
          <w:ilvl w:val="0"/>
          <w:numId w:val="2"/>
        </w:numPr>
        <w:spacing w:after="90" w:line="276"/>
      </w:pPr>
      <w:r>
        <w:rPr>
          <w:rFonts w:ascii="Arial" w:cs="Arial" w:eastAsia="Arial" w:hAnsi="Arial"/>
          <w:color w:val="262626"/>
          <w:sz w:val="21"/>
          <w:szCs w:val="21"/>
        </w:rPr>
        <w:t xml:space="preserve">Safeguard learners from extremism, radicalisation and exploitation</w:t>
      </w:r>
    </w:p>
    <w:p>
      <w:pPr>
        <w:pStyle w:val="ListParagraph"/>
        <w:numPr>
          <w:ilvl w:val="0"/>
          <w:numId w:val="2"/>
        </w:numPr>
        <w:spacing w:after="90" w:line="276"/>
      </w:pPr>
      <w:r>
        <w:rPr>
          <w:rFonts w:ascii="Arial" w:cs="Arial" w:eastAsia="Arial" w:hAnsi="Arial"/>
          <w:color w:val="262626"/>
          <w:sz w:val="21"/>
          <w:szCs w:val="21"/>
        </w:rPr>
        <w:t xml:space="preserve">Promote critical thinking and resilience to misinformation and harmful influences</w:t>
      </w:r>
    </w:p>
    <w:p>
      <w:pPr>
        <w:pStyle w:val="ListParagraph"/>
        <w:numPr>
          <w:ilvl w:val="0"/>
          <w:numId w:val="2"/>
        </w:numPr>
        <w:spacing w:after="90" w:line="276"/>
      </w:pPr>
      <w:r>
        <w:rPr>
          <w:rFonts w:ascii="Arial" w:cs="Arial" w:eastAsia="Arial" w:hAnsi="Arial"/>
          <w:color w:val="262626"/>
          <w:sz w:val="21"/>
          <w:szCs w:val="21"/>
        </w:rPr>
        <w:t xml:space="preserve">Celebrate diversity and promote inclusion for all members of our community</w:t>
      </w:r>
    </w:p>
    <w:p>
      <w:pPr>
        <w:pStyle w:val="Heading1"/>
        <w:pBdr>
          <w:bottom w:val="single" w:color="C9A84C" w:sz="8" w:space="4"/>
        </w:pBdr>
        <w:spacing w:after="160" w:before="360"/>
      </w:pPr>
      <w:r>
        <w:rPr>
          <w:rFonts w:ascii="Arial" w:cs="Arial" w:eastAsia="Arial" w:hAnsi="Arial"/>
          <w:b/>
          <w:bCs/>
          <w:color w:val="5B2D8E"/>
          <w:sz w:val="30"/>
          <w:szCs w:val="30"/>
        </w:rPr>
        <w:t xml:space="preserve">3. Roles and Responsibilities</w:t>
      </w:r>
    </w:p>
    <w:p>
      <w:pPr>
        <w:pStyle w:val="Heading2"/>
        <w:spacing w:after="120" w:before="260"/>
      </w:pPr>
      <w:r>
        <w:rPr>
          <w:rFonts w:ascii="Arial" w:cs="Arial" w:eastAsia="Arial" w:hAnsi="Arial"/>
          <w:b/>
          <w:bCs/>
          <w:color w:val="C9A84C"/>
          <w:sz w:val="24"/>
          <w:szCs w:val="24"/>
        </w:rPr>
        <w:t xml:space="preserve">CEO, Designated Safeguarding Leads and Provision Manager</w:t>
      </w:r>
    </w:p>
    <w:p>
      <w:pPr>
        <w:spacing w:after="160" w:line="276"/>
      </w:pPr>
      <w:r>
        <w:rPr>
          <w:rFonts w:ascii="Arial" w:cs="Arial" w:eastAsia="Arial" w:hAnsi="Arial"/>
          <w:b w:val="false"/>
          <w:bCs w:val="false"/>
          <w:i w:val="false"/>
          <w:iCs w:val="false"/>
          <w:color w:val="262626"/>
          <w:sz w:val="21"/>
          <w:szCs w:val="21"/>
        </w:rPr>
        <w:t xml:space="preserve">Lauren Collin, CEO, Pippa Edlin, Provision Manager/SENCO/DSL, and Anna Jacobs, Therapeutic Lead/DSL, are responsible for:</w:t>
      </w:r>
    </w:p>
    <w:p>
      <w:pPr>
        <w:pStyle w:val="ListParagraph"/>
        <w:numPr>
          <w:ilvl w:val="0"/>
          <w:numId w:val="2"/>
        </w:numPr>
        <w:spacing w:after="90" w:line="276"/>
      </w:pPr>
      <w:r>
        <w:rPr>
          <w:rFonts w:ascii="Arial" w:cs="Arial" w:eastAsia="Arial" w:hAnsi="Arial"/>
          <w:color w:val="262626"/>
          <w:sz w:val="21"/>
          <w:szCs w:val="21"/>
        </w:rPr>
        <w:t xml:space="preserve">Ensuring British Values and Prevent principles are embedded throughout Futures-Essex</w:t>
      </w:r>
    </w:p>
    <w:p>
      <w:pPr>
        <w:pStyle w:val="ListParagraph"/>
        <w:numPr>
          <w:ilvl w:val="0"/>
          <w:numId w:val="2"/>
        </w:numPr>
        <w:spacing w:after="90" w:line="276"/>
      </w:pPr>
      <w:r>
        <w:rPr>
          <w:rFonts w:ascii="Arial" w:cs="Arial" w:eastAsia="Arial" w:hAnsi="Arial"/>
          <w:color w:val="262626"/>
          <w:sz w:val="21"/>
          <w:szCs w:val="21"/>
        </w:rPr>
        <w:t xml:space="preserve">Ensuring all staff understand their safeguarding responsibilities under the Prevent Duty</w:t>
      </w:r>
    </w:p>
    <w:p>
      <w:pPr>
        <w:pStyle w:val="ListParagraph"/>
        <w:numPr>
          <w:ilvl w:val="0"/>
          <w:numId w:val="2"/>
        </w:numPr>
        <w:spacing w:after="90" w:line="276"/>
      </w:pPr>
      <w:r>
        <w:rPr>
          <w:rFonts w:ascii="Arial" w:cs="Arial" w:eastAsia="Arial" w:hAnsi="Arial"/>
          <w:color w:val="262626"/>
          <w:sz w:val="21"/>
          <w:szCs w:val="21"/>
        </w:rPr>
        <w:t xml:space="preserve">Providing appropriate training and updates for all staff and contractors</w:t>
      </w:r>
    </w:p>
    <w:p>
      <w:pPr>
        <w:pStyle w:val="ListParagraph"/>
        <w:numPr>
          <w:ilvl w:val="0"/>
          <w:numId w:val="2"/>
        </w:numPr>
        <w:spacing w:after="90" w:line="276"/>
      </w:pPr>
      <w:r>
        <w:rPr>
          <w:rFonts w:ascii="Arial" w:cs="Arial" w:eastAsia="Arial" w:hAnsi="Arial"/>
          <w:color w:val="262626"/>
          <w:sz w:val="21"/>
          <w:szCs w:val="21"/>
        </w:rPr>
        <w:t xml:space="preserve">Monitoring concerns relating to discrimination, extremism, radicalisation or harmful influences</w:t>
      </w:r>
    </w:p>
    <w:p>
      <w:pPr>
        <w:pStyle w:val="ListParagraph"/>
        <w:numPr>
          <w:ilvl w:val="0"/>
          <w:numId w:val="2"/>
        </w:numPr>
        <w:spacing w:after="90" w:line="276"/>
      </w:pPr>
      <w:r>
        <w:rPr>
          <w:rFonts w:ascii="Arial" w:cs="Arial" w:eastAsia="Arial" w:hAnsi="Arial"/>
          <w:color w:val="262626"/>
          <w:sz w:val="21"/>
          <w:szCs w:val="21"/>
        </w:rPr>
        <w:t xml:space="preserve">Ensuring all concerns are managed in accordance with safeguarding procedures</w:t>
      </w:r>
    </w:p>
    <w:p>
      <w:pPr>
        <w:pStyle w:val="ListParagraph"/>
        <w:numPr>
          <w:ilvl w:val="0"/>
          <w:numId w:val="2"/>
        </w:numPr>
        <w:spacing w:after="90" w:line="276"/>
      </w:pPr>
      <w:r>
        <w:rPr>
          <w:rFonts w:ascii="Arial" w:cs="Arial" w:eastAsia="Arial" w:hAnsi="Arial"/>
          <w:color w:val="262626"/>
          <w:sz w:val="21"/>
          <w:szCs w:val="21"/>
        </w:rPr>
        <w:t xml:space="preserve">Promoting a culture of inclusion, equality and respect</w:t>
      </w:r>
    </w:p>
    <w:tbl>
      <w:tblPr>
        <w:tblW w:type="pct" w:w="100%"/>
        <w:tblBorders>
          <w:top w:val="single" w:color="C9A84C" w:sz="4"/>
          <w:left w:val="single" w:color="C9A84C" w:sz="4"/>
          <w:bottom w:val="single" w:color="C9A84C" w:sz="4"/>
          <w:right w:val="single" w:color="C9A84C" w:sz="4"/>
          <w:insideH w:val="none" w:color="FFFFFF" w:sz="0"/>
          <w:insideV w:val="none" w:color="FFFFFF" w:sz="0"/>
        </w:tblBorders>
      </w:tblPr>
      <w:tblGrid>
        <w:gridCol w:w="100"/>
        <w:gridCol w:w="100"/>
      </w:tblGrid>
      <w:tr>
        <w:tc>
          <w:tcPr>
            <w:tcW w:type="pct" w:w="22%"/>
            <w:shd w:fill="5B2D8E" w:val="clear"/>
            <w:tcMar>
              <w:top w:type="dxa" w:w="90"/>
              <w:left w:type="dxa" w:w="130"/>
              <w:bottom w:type="dxa" w:w="90"/>
              <w:right w:type="dxa" w:w="100"/>
            </w:tcMar>
            <w:vAlign w:val="center"/>
          </w:tcPr>
          <w:p>
            <w:r>
              <w:rPr>
                <w:rFonts w:ascii="Arial" w:cs="Arial" w:eastAsia="Arial" w:hAnsi="Arial"/>
                <w:b/>
                <w:bCs/>
                <w:color w:val="FFFFFF"/>
                <w:sz w:val="16"/>
                <w:szCs w:val="16"/>
              </w:rPr>
              <w:t xml:space="preserve">AP Standard 1.5</w:t>
            </w:r>
          </w:p>
        </w:tc>
        <w:tc>
          <w:tcPr>
            <w:tcW w:type="pct" w:w="78%"/>
            <w:shd w:fill="FBF7EC" w:val="clear"/>
            <w:tcMar>
              <w:top w:type="dxa" w:w="90"/>
              <w:left w:type="dxa" w:w="130"/>
              <w:bottom w:type="dxa" w:w="90"/>
              <w:right w:type="dxa" w:w="130"/>
            </w:tcMar>
            <w:vAlign w:val="center"/>
          </w:tcPr>
          <w:p>
            <w:r>
              <w:rPr>
                <w:rFonts w:ascii="Arial" w:cs="Arial" w:eastAsia="Arial" w:hAnsi="Arial"/>
                <w:i/>
                <w:iCs/>
                <w:color w:val="262626"/>
                <w:sz w:val="17"/>
                <w:szCs w:val="17"/>
              </w:rPr>
              <w:t xml:space="preserve">Providers should have a named child safeguarding lead who has received appropriate, documented training and who leads on all safeguarding and child protection duties at the provision.</w:t>
            </w:r>
          </w:p>
        </w:tc>
      </w:tr>
    </w:tbl>
    <w:p>
      <w:pPr>
        <w:spacing w:after="120"/>
      </w:pPr>
    </w:p>
    <w:p>
      <w:pPr>
        <w:pStyle w:val="Heading2"/>
        <w:spacing w:after="120" w:before="260"/>
      </w:pPr>
      <w:r>
        <w:rPr>
          <w:rFonts w:ascii="Arial" w:cs="Arial" w:eastAsia="Arial" w:hAnsi="Arial"/>
          <w:b/>
          <w:bCs/>
          <w:color w:val="C9A84C"/>
          <w:sz w:val="24"/>
          <w:szCs w:val="24"/>
        </w:rPr>
        <w:t xml:space="preserve">All Staff and Contractors</w:t>
      </w:r>
    </w:p>
    <w:p>
      <w:pPr>
        <w:spacing w:after="160" w:line="276"/>
      </w:pPr>
      <w:r>
        <w:rPr>
          <w:rFonts w:ascii="Arial" w:cs="Arial" w:eastAsia="Arial" w:hAnsi="Arial"/>
          <w:b w:val="false"/>
          <w:bCs w:val="false"/>
          <w:i w:val="false"/>
          <w:iCs w:val="false"/>
          <w:color w:val="262626"/>
          <w:sz w:val="21"/>
          <w:szCs w:val="21"/>
        </w:rPr>
        <w:t xml:space="preserve">All staff and self-employed contractors working with Futures-Essex are responsible for:</w:t>
      </w:r>
    </w:p>
    <w:p>
      <w:pPr>
        <w:pStyle w:val="ListParagraph"/>
        <w:numPr>
          <w:ilvl w:val="0"/>
          <w:numId w:val="2"/>
        </w:numPr>
        <w:spacing w:after="90" w:line="276"/>
      </w:pPr>
      <w:r>
        <w:rPr>
          <w:rFonts w:ascii="Arial" w:cs="Arial" w:eastAsia="Arial" w:hAnsi="Arial"/>
          <w:color w:val="262626"/>
          <w:sz w:val="21"/>
          <w:szCs w:val="21"/>
        </w:rPr>
        <w:t xml:space="preserve">Modelling and promoting British Values in all interactions with young people</w:t>
      </w:r>
    </w:p>
    <w:p>
      <w:pPr>
        <w:pStyle w:val="ListParagraph"/>
        <w:numPr>
          <w:ilvl w:val="0"/>
          <w:numId w:val="2"/>
        </w:numPr>
        <w:spacing w:after="90" w:line="276"/>
      </w:pPr>
      <w:r>
        <w:rPr>
          <w:rFonts w:ascii="Arial" w:cs="Arial" w:eastAsia="Arial" w:hAnsi="Arial"/>
          <w:color w:val="262626"/>
          <w:sz w:val="21"/>
          <w:szCs w:val="21"/>
        </w:rPr>
        <w:t xml:space="preserve">Challenging discriminatory, prejudicial or extremist views appropriately and respectfully</w:t>
      </w:r>
    </w:p>
    <w:p>
      <w:pPr>
        <w:pStyle w:val="ListParagraph"/>
        <w:numPr>
          <w:ilvl w:val="0"/>
          <w:numId w:val="2"/>
        </w:numPr>
        <w:spacing w:after="90" w:line="276"/>
      </w:pPr>
      <w:r>
        <w:rPr>
          <w:rFonts w:ascii="Arial" w:cs="Arial" w:eastAsia="Arial" w:hAnsi="Arial"/>
          <w:color w:val="262626"/>
          <w:sz w:val="21"/>
          <w:szCs w:val="21"/>
        </w:rPr>
        <w:t xml:space="preserve">Creating safe opportunities for discussion and debate</w:t>
      </w:r>
    </w:p>
    <w:p>
      <w:pPr>
        <w:pStyle w:val="ListParagraph"/>
        <w:numPr>
          <w:ilvl w:val="0"/>
          <w:numId w:val="2"/>
        </w:numPr>
        <w:spacing w:after="90" w:line="276"/>
      </w:pPr>
      <w:r>
        <w:rPr>
          <w:rFonts w:ascii="Arial" w:cs="Arial" w:eastAsia="Arial" w:hAnsi="Arial"/>
          <w:color w:val="262626"/>
          <w:sz w:val="21"/>
          <w:szCs w:val="21"/>
        </w:rPr>
        <w:t xml:space="preserve">Remaining vigilant to safeguarding concerns, including signs of radicalisation</w:t>
      </w:r>
    </w:p>
    <w:p>
      <w:pPr>
        <w:pStyle w:val="ListParagraph"/>
        <w:numPr>
          <w:ilvl w:val="0"/>
          <w:numId w:val="2"/>
        </w:numPr>
        <w:spacing w:after="90" w:line="276"/>
      </w:pPr>
      <w:r>
        <w:rPr>
          <w:rFonts w:ascii="Arial" w:cs="Arial" w:eastAsia="Arial" w:hAnsi="Arial"/>
          <w:color w:val="262626"/>
          <w:sz w:val="21"/>
          <w:szCs w:val="21"/>
        </w:rPr>
        <w:t xml:space="preserve">Reporting concerns promptly and in accordance with safeguarding procedures</w:t>
      </w:r>
    </w:p>
    <w:tbl>
      <w:tblPr>
        <w:tblW w:type="pct" w:w="100%"/>
        <w:tblBorders>
          <w:top w:val="single" w:color="C9A84C" w:sz="4"/>
          <w:left w:val="single" w:color="C9A84C" w:sz="4"/>
          <w:bottom w:val="single" w:color="C9A84C" w:sz="4"/>
          <w:right w:val="single" w:color="C9A84C" w:sz="4"/>
          <w:insideH w:val="none" w:color="FFFFFF" w:sz="0"/>
          <w:insideV w:val="none" w:color="FFFFFF" w:sz="0"/>
        </w:tblBorders>
      </w:tblPr>
      <w:tblGrid>
        <w:gridCol w:w="100"/>
        <w:gridCol w:w="100"/>
      </w:tblGrid>
      <w:tr>
        <w:tc>
          <w:tcPr>
            <w:tcW w:type="pct" w:w="22%"/>
            <w:shd w:fill="5B2D8E" w:val="clear"/>
            <w:tcMar>
              <w:top w:type="dxa" w:w="90"/>
              <w:left w:type="dxa" w:w="130"/>
              <w:bottom w:type="dxa" w:w="90"/>
              <w:right w:type="dxa" w:w="100"/>
            </w:tcMar>
            <w:vAlign w:val="center"/>
          </w:tcPr>
          <w:p>
            <w:r>
              <w:rPr>
                <w:rFonts w:ascii="Arial" w:cs="Arial" w:eastAsia="Arial" w:hAnsi="Arial"/>
                <w:b/>
                <w:bCs/>
                <w:color w:val="FFFFFF"/>
                <w:sz w:val="16"/>
                <w:szCs w:val="16"/>
              </w:rPr>
              <w:t xml:space="preserve">AP Standard 1.4</w:t>
            </w:r>
          </w:p>
        </w:tc>
        <w:tc>
          <w:tcPr>
            <w:tcW w:type="pct" w:w="78%"/>
            <w:shd w:fill="FBF7EC" w:val="clear"/>
            <w:tcMar>
              <w:top w:type="dxa" w:w="90"/>
              <w:left w:type="dxa" w:w="130"/>
              <w:bottom w:type="dxa" w:w="90"/>
              <w:right w:type="dxa" w:w="130"/>
            </w:tcMar>
            <w:vAlign w:val="center"/>
          </w:tcPr>
          <w:p>
            <w:r>
              <w:rPr>
                <w:rFonts w:ascii="Arial" w:cs="Arial" w:eastAsia="Arial" w:hAnsi="Arial"/>
                <w:i/>
                <w:iCs/>
                <w:color w:val="262626"/>
                <w:sz w:val="17"/>
                <w:szCs w:val="17"/>
              </w:rPr>
              <w:t xml:space="preserve">All staff must be familiar with the provider's arrangements to safeguard and promote the welfare of children, including the referrals process and how to engage the safeguarding lead.</w:t>
            </w:r>
          </w:p>
        </w:tc>
      </w:tr>
    </w:tbl>
    <w:p>
      <w:pPr>
        <w:spacing w:after="120"/>
      </w:pPr>
    </w:p>
    <w:p>
      <w:pPr>
        <w:pStyle w:val="Heading1"/>
        <w:pBdr>
          <w:bottom w:val="single" w:color="C9A84C" w:sz="8" w:space="4"/>
        </w:pBdr>
        <w:spacing w:after="160" w:before="360"/>
      </w:pPr>
      <w:r>
        <w:rPr>
          <w:rFonts w:ascii="Arial" w:cs="Arial" w:eastAsia="Arial" w:hAnsi="Arial"/>
          <w:b/>
          <w:bCs/>
          <w:color w:val="5B2D8E"/>
          <w:sz w:val="30"/>
          <w:szCs w:val="30"/>
        </w:rPr>
        <w:t xml:space="preserve">4. The Five Fundamental British Values</w:t>
      </w:r>
    </w:p>
    <w:p>
      <w:pPr>
        <w:pStyle w:val="Heading2"/>
        <w:spacing w:after="120" w:before="260"/>
      </w:pPr>
      <w:r>
        <w:rPr>
          <w:rFonts w:ascii="Arial" w:cs="Arial" w:eastAsia="Arial" w:hAnsi="Arial"/>
          <w:b/>
          <w:bCs/>
          <w:color w:val="C9A84C"/>
          <w:sz w:val="24"/>
          <w:szCs w:val="24"/>
        </w:rPr>
        <w:t xml:space="preserve">4.1 Democracy</w:t>
      </w:r>
    </w:p>
    <w:p>
      <w:pPr>
        <w:spacing w:after="160" w:line="276"/>
      </w:pPr>
      <w:r>
        <w:rPr>
          <w:rFonts w:ascii="Arial" w:cs="Arial" w:eastAsia="Arial" w:hAnsi="Arial"/>
          <w:b w:val="false"/>
          <w:bCs w:val="false"/>
          <w:i w:val="false"/>
          <w:iCs w:val="false"/>
          <w:color w:val="262626"/>
          <w:sz w:val="21"/>
          <w:szCs w:val="21"/>
        </w:rPr>
        <w:t xml:space="preserve">At Futures-Essex, we believe every learner has a voice and a right to be heard. We promote democratic principles through learner voice activities, collaborative projects, restorative conversations and opportunities for young people to shape their own learning journey.</w:t>
      </w:r>
    </w:p>
    <w:p>
      <w:pPr>
        <w:spacing w:after="160" w:line="276"/>
      </w:pPr>
      <w:r>
        <w:rPr>
          <w:rFonts w:ascii="Arial" w:cs="Arial" w:eastAsia="Arial" w:hAnsi="Arial"/>
          <w:b w:val="false"/>
          <w:bCs w:val="false"/>
          <w:i w:val="false"/>
          <w:iCs w:val="false"/>
          <w:color w:val="262626"/>
          <w:sz w:val="21"/>
          <w:szCs w:val="21"/>
        </w:rPr>
        <w:t xml:space="preserve">Learners are encouraged to:</w:t>
      </w:r>
    </w:p>
    <w:p>
      <w:pPr>
        <w:pStyle w:val="ListParagraph"/>
        <w:numPr>
          <w:ilvl w:val="0"/>
          <w:numId w:val="2"/>
        </w:numPr>
        <w:spacing w:after="90" w:line="276"/>
      </w:pPr>
      <w:r>
        <w:rPr>
          <w:rFonts w:ascii="Arial" w:cs="Arial" w:eastAsia="Arial" w:hAnsi="Arial"/>
          <w:color w:val="262626"/>
          <w:sz w:val="21"/>
          <w:szCs w:val="21"/>
        </w:rPr>
        <w:t xml:space="preserve">Share their opinions, ideas and aspirations freely</w:t>
      </w:r>
    </w:p>
    <w:p>
      <w:pPr>
        <w:pStyle w:val="ListParagraph"/>
        <w:numPr>
          <w:ilvl w:val="0"/>
          <w:numId w:val="2"/>
        </w:numPr>
        <w:spacing w:after="90" w:line="276"/>
      </w:pPr>
      <w:r>
        <w:rPr>
          <w:rFonts w:ascii="Arial" w:cs="Arial" w:eastAsia="Arial" w:hAnsi="Arial"/>
          <w:color w:val="262626"/>
          <w:sz w:val="21"/>
          <w:szCs w:val="21"/>
        </w:rPr>
        <w:t xml:space="preserve">Contribute to planning activities, projects and the direction of their learning</w:t>
      </w:r>
    </w:p>
    <w:p>
      <w:pPr>
        <w:pStyle w:val="ListParagraph"/>
        <w:numPr>
          <w:ilvl w:val="0"/>
          <w:numId w:val="2"/>
        </w:numPr>
        <w:spacing w:after="90" w:line="276"/>
      </w:pPr>
      <w:r>
        <w:rPr>
          <w:rFonts w:ascii="Arial" w:cs="Arial" w:eastAsia="Arial" w:hAnsi="Arial"/>
          <w:color w:val="262626"/>
          <w:sz w:val="21"/>
          <w:szCs w:val="21"/>
        </w:rPr>
        <w:t xml:space="preserve">Provide feedback about their learning experience</w:t>
      </w:r>
    </w:p>
    <w:p>
      <w:pPr>
        <w:pStyle w:val="ListParagraph"/>
        <w:numPr>
          <w:ilvl w:val="0"/>
          <w:numId w:val="2"/>
        </w:numPr>
        <w:spacing w:after="90" w:line="276"/>
      </w:pPr>
      <w:r>
        <w:rPr>
          <w:rFonts w:ascii="Arial" w:cs="Arial" w:eastAsia="Arial" w:hAnsi="Arial"/>
          <w:color w:val="262626"/>
          <w:sz w:val="21"/>
          <w:szCs w:val="21"/>
        </w:rPr>
        <w:t xml:space="preserve">Participate in discussions and decision-making processes</w:t>
      </w:r>
    </w:p>
    <w:p>
      <w:pPr>
        <w:pStyle w:val="ListParagraph"/>
        <w:numPr>
          <w:ilvl w:val="0"/>
          <w:numId w:val="2"/>
        </w:numPr>
        <w:spacing w:after="90" w:line="276"/>
      </w:pPr>
      <w:r>
        <w:rPr>
          <w:rFonts w:ascii="Arial" w:cs="Arial" w:eastAsia="Arial" w:hAnsi="Arial"/>
          <w:color w:val="262626"/>
          <w:sz w:val="21"/>
          <w:szCs w:val="21"/>
        </w:rPr>
        <w:t xml:space="preserve">Respect the views of others, even when they differ from their own</w:t>
      </w:r>
    </w:p>
    <w:p>
      <w:pPr>
        <w:pStyle w:val="Heading2"/>
        <w:spacing w:after="120" w:before="260"/>
      </w:pPr>
      <w:r>
        <w:rPr>
          <w:rFonts w:ascii="Arial" w:cs="Arial" w:eastAsia="Arial" w:hAnsi="Arial"/>
          <w:b/>
          <w:bCs/>
          <w:color w:val="C9A84C"/>
          <w:sz w:val="24"/>
          <w:szCs w:val="24"/>
        </w:rPr>
        <w:t xml:space="preserve">4.2 The Rule of Law</w:t>
      </w:r>
    </w:p>
    <w:p>
      <w:pPr>
        <w:spacing w:after="160" w:line="276"/>
      </w:pPr>
      <w:r>
        <w:rPr>
          <w:rFonts w:ascii="Arial" w:cs="Arial" w:eastAsia="Arial" w:hAnsi="Arial"/>
          <w:b w:val="false"/>
          <w:bCs w:val="false"/>
          <w:i w:val="false"/>
          <w:iCs w:val="false"/>
          <w:color w:val="262626"/>
          <w:sz w:val="21"/>
          <w:szCs w:val="21"/>
        </w:rPr>
        <w:t xml:space="preserve">We support learners to understand the importance of rules, laws and boundaries in creating safe, fair and respectful communities. Our Behaviour in Context approach is grounded in relationships, restoration and helping young people understand the impact of their choices.</w:t>
      </w:r>
    </w:p>
    <w:p>
      <w:pPr>
        <w:spacing w:after="160" w:line="276"/>
      </w:pPr>
      <w:r>
        <w:rPr>
          <w:rFonts w:ascii="Arial" w:cs="Arial" w:eastAsia="Arial" w:hAnsi="Arial"/>
          <w:b w:val="false"/>
          <w:bCs w:val="false"/>
          <w:i w:val="false"/>
          <w:iCs w:val="false"/>
          <w:color w:val="262626"/>
          <w:sz w:val="21"/>
          <w:szCs w:val="21"/>
        </w:rPr>
        <w:t xml:space="preserve">Learners are encouraged to:</w:t>
      </w:r>
    </w:p>
    <w:p>
      <w:pPr>
        <w:pStyle w:val="ListParagraph"/>
        <w:numPr>
          <w:ilvl w:val="0"/>
          <w:numId w:val="2"/>
        </w:numPr>
        <w:spacing w:after="90" w:line="276"/>
      </w:pPr>
      <w:r>
        <w:rPr>
          <w:rFonts w:ascii="Arial" w:cs="Arial" w:eastAsia="Arial" w:hAnsi="Arial"/>
          <w:color w:val="262626"/>
          <w:sz w:val="21"/>
          <w:szCs w:val="21"/>
        </w:rPr>
        <w:t xml:space="preserve">Understand their rights and responsibilities</w:t>
      </w:r>
    </w:p>
    <w:p>
      <w:pPr>
        <w:pStyle w:val="ListParagraph"/>
        <w:numPr>
          <w:ilvl w:val="0"/>
          <w:numId w:val="2"/>
        </w:numPr>
        <w:spacing w:after="90" w:line="276"/>
      </w:pPr>
      <w:r>
        <w:rPr>
          <w:rFonts w:ascii="Arial" w:cs="Arial" w:eastAsia="Arial" w:hAnsi="Arial"/>
          <w:color w:val="262626"/>
          <w:sz w:val="21"/>
          <w:szCs w:val="21"/>
        </w:rPr>
        <w:t xml:space="preserve">Recognise the consequences of actions and decisions</w:t>
      </w:r>
    </w:p>
    <w:p>
      <w:pPr>
        <w:pStyle w:val="ListParagraph"/>
        <w:numPr>
          <w:ilvl w:val="0"/>
          <w:numId w:val="2"/>
        </w:numPr>
        <w:spacing w:after="90" w:line="276"/>
      </w:pPr>
      <w:r>
        <w:rPr>
          <w:rFonts w:ascii="Arial" w:cs="Arial" w:eastAsia="Arial" w:hAnsi="Arial"/>
          <w:color w:val="262626"/>
          <w:sz w:val="21"/>
          <w:szCs w:val="21"/>
        </w:rPr>
        <w:t xml:space="preserve">Respect agreed expectations and community boundaries</w:t>
      </w:r>
    </w:p>
    <w:p>
      <w:pPr>
        <w:pStyle w:val="ListParagraph"/>
        <w:numPr>
          <w:ilvl w:val="0"/>
          <w:numId w:val="2"/>
        </w:numPr>
        <w:spacing w:after="90" w:line="276"/>
      </w:pPr>
      <w:r>
        <w:rPr>
          <w:rFonts w:ascii="Arial" w:cs="Arial" w:eastAsia="Arial" w:hAnsi="Arial"/>
          <w:color w:val="262626"/>
          <w:sz w:val="21"/>
          <w:szCs w:val="21"/>
        </w:rPr>
        <w:t xml:space="preserve">Develop accountability and self-regulation skills</w:t>
      </w:r>
    </w:p>
    <w:tbl>
      <w:tblPr>
        <w:tblW w:type="pct" w:w="100%"/>
        <w:tblBorders>
          <w:top w:val="single" w:color="C9A84C" w:sz="4"/>
          <w:left w:val="single" w:color="C9A84C" w:sz="4"/>
          <w:bottom w:val="single" w:color="C9A84C" w:sz="4"/>
          <w:right w:val="single" w:color="C9A84C" w:sz="4"/>
          <w:insideH w:val="none" w:color="FFFFFF" w:sz="0"/>
          <w:insideV w:val="none" w:color="FFFFFF" w:sz="0"/>
        </w:tblBorders>
      </w:tblPr>
      <w:tblGrid>
        <w:gridCol w:w="100"/>
        <w:gridCol w:w="100"/>
      </w:tblGrid>
      <w:tr>
        <w:tc>
          <w:tcPr>
            <w:tcW w:type="pct" w:w="22%"/>
            <w:shd w:fill="5B2D8E" w:val="clear"/>
            <w:tcMar>
              <w:top w:type="dxa" w:w="90"/>
              <w:left w:type="dxa" w:w="130"/>
              <w:bottom w:type="dxa" w:w="90"/>
              <w:right w:type="dxa" w:w="100"/>
            </w:tcMar>
            <w:vAlign w:val="center"/>
          </w:tcPr>
          <w:p>
            <w:r>
              <w:rPr>
                <w:rFonts w:ascii="Arial" w:cs="Arial" w:eastAsia="Arial" w:hAnsi="Arial"/>
                <w:b/>
                <w:bCs/>
                <w:color w:val="FFFFFF"/>
                <w:sz w:val="16"/>
                <w:szCs w:val="16"/>
              </w:rPr>
              <w:t xml:space="preserve">AP Standard 1.2</w:t>
            </w:r>
          </w:p>
        </w:tc>
        <w:tc>
          <w:tcPr>
            <w:tcW w:type="pct" w:w="78%"/>
            <w:shd w:fill="FBF7EC" w:val="clear"/>
            <w:tcMar>
              <w:top w:type="dxa" w:w="90"/>
              <w:left w:type="dxa" w:w="130"/>
              <w:bottom w:type="dxa" w:w="90"/>
              <w:right w:type="dxa" w:w="130"/>
            </w:tcMar>
            <w:vAlign w:val="center"/>
          </w:tcPr>
          <w:p>
            <w:r>
              <w:rPr>
                <w:rFonts w:ascii="Arial" w:cs="Arial" w:eastAsia="Arial" w:hAnsi="Arial"/>
                <w:i/>
                <w:iCs/>
                <w:color w:val="262626"/>
                <w:sz w:val="17"/>
                <w:szCs w:val="17"/>
              </w:rPr>
              <w:t xml:space="preserve">Providers must have a behaviour policy for children attending the setting, including measures to prevent bullying and prejudice-based or discriminatory behaviour.</w:t>
            </w:r>
          </w:p>
        </w:tc>
      </w:tr>
    </w:tbl>
    <w:p>
      <w:pPr>
        <w:spacing w:after="120"/>
      </w:pPr>
    </w:p>
    <w:p>
      <w:pPr>
        <w:pStyle w:val="Heading2"/>
        <w:spacing w:after="120" w:before="260"/>
      </w:pPr>
      <w:r>
        <w:rPr>
          <w:rFonts w:ascii="Arial" w:cs="Arial" w:eastAsia="Arial" w:hAnsi="Arial"/>
          <w:b/>
          <w:bCs/>
          <w:color w:val="C9A84C"/>
          <w:sz w:val="24"/>
          <w:szCs w:val="24"/>
        </w:rPr>
        <w:t xml:space="preserve">4.3 Individual Liberty</w:t>
      </w:r>
    </w:p>
    <w:p>
      <w:pPr>
        <w:spacing w:after="160" w:line="276"/>
      </w:pPr>
      <w:r>
        <w:rPr>
          <w:rFonts w:ascii="Arial" w:cs="Arial" w:eastAsia="Arial" w:hAnsi="Arial"/>
          <w:b w:val="false"/>
          <w:bCs w:val="false"/>
          <w:i w:val="false"/>
          <w:iCs w:val="false"/>
          <w:color w:val="262626"/>
          <w:sz w:val="21"/>
          <w:szCs w:val="21"/>
        </w:rPr>
        <w:t xml:space="preserve">We encourage learners to make informed choices and develop independence within a safe, supportive environment. We recognise that individual liberty must always be balanced with respect for the rights, wellbeing and safety of others.</w:t>
      </w:r>
    </w:p>
    <w:p>
      <w:pPr>
        <w:spacing w:after="160" w:line="276"/>
      </w:pPr>
      <w:r>
        <w:rPr>
          <w:rFonts w:ascii="Arial" w:cs="Arial" w:eastAsia="Arial" w:hAnsi="Arial"/>
          <w:b w:val="false"/>
          <w:bCs w:val="false"/>
          <w:i w:val="false"/>
          <w:iCs w:val="false"/>
          <w:color w:val="262626"/>
          <w:sz w:val="21"/>
          <w:szCs w:val="21"/>
        </w:rPr>
        <w:t xml:space="preserve">Learners are supported to:</w:t>
      </w:r>
    </w:p>
    <w:p>
      <w:pPr>
        <w:pStyle w:val="ListParagraph"/>
        <w:numPr>
          <w:ilvl w:val="0"/>
          <w:numId w:val="2"/>
        </w:numPr>
        <w:spacing w:after="90" w:line="276"/>
      </w:pPr>
      <w:r>
        <w:rPr>
          <w:rFonts w:ascii="Arial" w:cs="Arial" w:eastAsia="Arial" w:hAnsi="Arial"/>
          <w:color w:val="262626"/>
          <w:sz w:val="21"/>
          <w:szCs w:val="21"/>
        </w:rPr>
        <w:t xml:space="preserve">Express their views and opinions in a safe, non-judgemental space</w:t>
      </w:r>
    </w:p>
    <w:p>
      <w:pPr>
        <w:pStyle w:val="ListParagraph"/>
        <w:numPr>
          <w:ilvl w:val="0"/>
          <w:numId w:val="2"/>
        </w:numPr>
        <w:spacing w:after="90" w:line="276"/>
      </w:pPr>
      <w:r>
        <w:rPr>
          <w:rFonts w:ascii="Arial" w:cs="Arial" w:eastAsia="Arial" w:hAnsi="Arial"/>
          <w:color w:val="262626"/>
          <w:sz w:val="21"/>
          <w:szCs w:val="21"/>
        </w:rPr>
        <w:t xml:space="preserve">Explore personal interests and aspirations</w:t>
      </w:r>
    </w:p>
    <w:p>
      <w:pPr>
        <w:pStyle w:val="ListParagraph"/>
        <w:numPr>
          <w:ilvl w:val="0"/>
          <w:numId w:val="2"/>
        </w:numPr>
        <w:spacing w:after="90" w:line="276"/>
      </w:pPr>
      <w:r>
        <w:rPr>
          <w:rFonts w:ascii="Arial" w:cs="Arial" w:eastAsia="Arial" w:hAnsi="Arial"/>
          <w:color w:val="262626"/>
          <w:sz w:val="21"/>
          <w:szCs w:val="21"/>
        </w:rPr>
        <w:t xml:space="preserve">Make informed choices about their learning</w:t>
      </w:r>
    </w:p>
    <w:p>
      <w:pPr>
        <w:pStyle w:val="ListParagraph"/>
        <w:numPr>
          <w:ilvl w:val="0"/>
          <w:numId w:val="2"/>
        </w:numPr>
        <w:spacing w:after="90" w:line="276"/>
      </w:pPr>
      <w:r>
        <w:rPr>
          <w:rFonts w:ascii="Arial" w:cs="Arial" w:eastAsia="Arial" w:hAnsi="Arial"/>
          <w:color w:val="262626"/>
          <w:sz w:val="21"/>
          <w:szCs w:val="21"/>
        </w:rPr>
        <w:t xml:space="preserve">Build confidence and self-advocacy skills</w:t>
      </w:r>
    </w:p>
    <w:p>
      <w:pPr>
        <w:pStyle w:val="ListParagraph"/>
        <w:numPr>
          <w:ilvl w:val="0"/>
          <w:numId w:val="2"/>
        </w:numPr>
        <w:spacing w:after="90" w:line="276"/>
      </w:pPr>
      <w:r>
        <w:rPr>
          <w:rFonts w:ascii="Arial" w:cs="Arial" w:eastAsia="Arial" w:hAnsi="Arial"/>
          <w:color w:val="262626"/>
          <w:sz w:val="21"/>
          <w:szCs w:val="21"/>
        </w:rPr>
        <w:t xml:space="preserve">Understand their personal rights and freedoms, and those of others</w:t>
      </w:r>
    </w:p>
    <w:p>
      <w:pPr>
        <w:pStyle w:val="Heading2"/>
        <w:spacing w:after="120" w:before="260"/>
      </w:pPr>
      <w:r>
        <w:rPr>
          <w:rFonts w:ascii="Arial" w:cs="Arial" w:eastAsia="Arial" w:hAnsi="Arial"/>
          <w:b/>
          <w:bCs/>
          <w:color w:val="C9A84C"/>
          <w:sz w:val="24"/>
          <w:szCs w:val="24"/>
        </w:rPr>
        <w:t xml:space="preserve">4.4 Mutual Respect</w:t>
      </w:r>
    </w:p>
    <w:p>
      <w:pPr>
        <w:spacing w:after="160" w:line="276"/>
      </w:pPr>
      <w:r>
        <w:rPr>
          <w:rFonts w:ascii="Arial" w:cs="Arial" w:eastAsia="Arial" w:hAnsi="Arial"/>
          <w:b w:val="false"/>
          <w:bCs w:val="false"/>
          <w:i w:val="false"/>
          <w:iCs w:val="false"/>
          <w:color w:val="262626"/>
          <w:sz w:val="21"/>
          <w:szCs w:val="21"/>
        </w:rPr>
        <w:t xml:space="preserve">Respect forms the foundation of all relationships at Futures-Essex. We actively promote positive, empathetic and dignified relationships across our whole community. All members of our provision are expected to treat others with kindness, dignity and respect at all times.</w:t>
      </w:r>
    </w:p>
    <w:p>
      <w:pPr>
        <w:spacing w:after="160" w:line="276"/>
      </w:pPr>
      <w:r>
        <w:rPr>
          <w:rFonts w:ascii="Arial" w:cs="Arial" w:eastAsia="Arial" w:hAnsi="Arial"/>
          <w:b w:val="false"/>
          <w:bCs w:val="false"/>
          <w:i w:val="false"/>
          <w:iCs w:val="false"/>
          <w:color w:val="262626"/>
          <w:sz w:val="21"/>
          <w:szCs w:val="21"/>
        </w:rPr>
        <w:t xml:space="preserve">We actively promote:</w:t>
      </w:r>
    </w:p>
    <w:p>
      <w:pPr>
        <w:pStyle w:val="ListParagraph"/>
        <w:numPr>
          <w:ilvl w:val="0"/>
          <w:numId w:val="2"/>
        </w:numPr>
        <w:spacing w:after="90" w:line="276"/>
      </w:pPr>
      <w:r>
        <w:rPr>
          <w:rFonts w:ascii="Arial" w:cs="Arial" w:eastAsia="Arial" w:hAnsi="Arial"/>
          <w:color w:val="262626"/>
          <w:sz w:val="21"/>
          <w:szCs w:val="21"/>
        </w:rPr>
        <w:t xml:space="preserve">Kindness and empathy in all interactions</w:t>
      </w:r>
    </w:p>
    <w:p>
      <w:pPr>
        <w:pStyle w:val="ListParagraph"/>
        <w:numPr>
          <w:ilvl w:val="0"/>
          <w:numId w:val="2"/>
        </w:numPr>
        <w:spacing w:after="90" w:line="276"/>
      </w:pPr>
      <w:r>
        <w:rPr>
          <w:rFonts w:ascii="Arial" w:cs="Arial" w:eastAsia="Arial" w:hAnsi="Arial"/>
          <w:color w:val="262626"/>
          <w:sz w:val="21"/>
          <w:szCs w:val="21"/>
        </w:rPr>
        <w:t xml:space="preserve">Respectful communication between learners, staff and families</w:t>
      </w:r>
    </w:p>
    <w:p>
      <w:pPr>
        <w:pStyle w:val="ListParagraph"/>
        <w:numPr>
          <w:ilvl w:val="0"/>
          <w:numId w:val="2"/>
        </w:numPr>
        <w:spacing w:after="90" w:line="276"/>
      </w:pPr>
      <w:r>
        <w:rPr>
          <w:rFonts w:ascii="Arial" w:cs="Arial" w:eastAsia="Arial" w:hAnsi="Arial"/>
          <w:color w:val="262626"/>
          <w:sz w:val="21"/>
          <w:szCs w:val="21"/>
        </w:rPr>
        <w:t xml:space="preserve">Understanding and appreciation of different perspectives and lived experiences</w:t>
      </w:r>
    </w:p>
    <w:p>
      <w:pPr>
        <w:pStyle w:val="ListParagraph"/>
        <w:numPr>
          <w:ilvl w:val="0"/>
          <w:numId w:val="2"/>
        </w:numPr>
        <w:spacing w:after="90" w:line="276"/>
      </w:pPr>
      <w:r>
        <w:rPr>
          <w:rFonts w:ascii="Arial" w:cs="Arial" w:eastAsia="Arial" w:hAnsi="Arial"/>
          <w:color w:val="262626"/>
          <w:sz w:val="21"/>
          <w:szCs w:val="21"/>
        </w:rPr>
        <w:t xml:space="preserve">Restorative conversations where difficulties arise</w:t>
      </w:r>
    </w:p>
    <w:p>
      <w:pPr>
        <w:pStyle w:val="Heading2"/>
        <w:spacing w:after="120" w:before="260"/>
      </w:pPr>
      <w:r>
        <w:rPr>
          <w:rFonts w:ascii="Arial" w:cs="Arial" w:eastAsia="Arial" w:hAnsi="Arial"/>
          <w:b/>
          <w:bCs/>
          <w:color w:val="C9A84C"/>
          <w:sz w:val="24"/>
          <w:szCs w:val="24"/>
        </w:rPr>
        <w:t xml:space="preserve">4.5 Tolerance of Different Faiths and Beliefs</w:t>
      </w:r>
    </w:p>
    <w:p>
      <w:pPr>
        <w:spacing w:after="160" w:line="276"/>
      </w:pPr>
      <w:r>
        <w:rPr>
          <w:rFonts w:ascii="Arial" w:cs="Arial" w:eastAsia="Arial" w:hAnsi="Arial"/>
          <w:b w:val="false"/>
          <w:bCs w:val="false"/>
          <w:i w:val="false"/>
          <w:iCs w:val="false"/>
          <w:color w:val="262626"/>
          <w:sz w:val="21"/>
          <w:szCs w:val="21"/>
        </w:rPr>
        <w:t xml:space="preserve">We celebrate diversity and actively promote inclusion across Futures-Essex. Discriminatory language, hate incidents and prejudicial behaviour are challenged appropriately and addressed through our safeguarding and behaviour procedures.</w:t>
      </w:r>
    </w:p>
    <w:p>
      <w:pPr>
        <w:spacing w:after="160" w:line="276"/>
      </w:pPr>
      <w:r>
        <w:rPr>
          <w:rFonts w:ascii="Arial" w:cs="Arial" w:eastAsia="Arial" w:hAnsi="Arial"/>
          <w:b w:val="false"/>
          <w:bCs w:val="false"/>
          <w:i w:val="false"/>
          <w:iCs w:val="false"/>
          <w:color w:val="262626"/>
          <w:sz w:val="21"/>
          <w:szCs w:val="21"/>
        </w:rPr>
        <w:t xml:space="preserve">Learners are encouraged to:</w:t>
      </w:r>
    </w:p>
    <w:p>
      <w:pPr>
        <w:pStyle w:val="ListParagraph"/>
        <w:numPr>
          <w:ilvl w:val="0"/>
          <w:numId w:val="2"/>
        </w:numPr>
        <w:spacing w:after="90" w:line="276"/>
      </w:pPr>
      <w:r>
        <w:rPr>
          <w:rFonts w:ascii="Arial" w:cs="Arial" w:eastAsia="Arial" w:hAnsi="Arial"/>
          <w:color w:val="262626"/>
          <w:sz w:val="21"/>
          <w:szCs w:val="21"/>
        </w:rPr>
        <w:t xml:space="preserve">Learn about different cultures, religions and worldviews</w:t>
      </w:r>
    </w:p>
    <w:p>
      <w:pPr>
        <w:pStyle w:val="ListParagraph"/>
        <w:numPr>
          <w:ilvl w:val="0"/>
          <w:numId w:val="2"/>
        </w:numPr>
        <w:spacing w:after="90" w:line="276"/>
      </w:pPr>
      <w:r>
        <w:rPr>
          <w:rFonts w:ascii="Arial" w:cs="Arial" w:eastAsia="Arial" w:hAnsi="Arial"/>
          <w:color w:val="262626"/>
          <w:sz w:val="21"/>
          <w:szCs w:val="21"/>
        </w:rPr>
        <w:t xml:space="preserve">Challenge stereotypes, bias and prejudice respectfully</w:t>
      </w:r>
    </w:p>
    <w:p>
      <w:pPr>
        <w:pStyle w:val="ListParagraph"/>
        <w:numPr>
          <w:ilvl w:val="0"/>
          <w:numId w:val="2"/>
        </w:numPr>
        <w:spacing w:after="90" w:line="276"/>
      </w:pPr>
      <w:r>
        <w:rPr>
          <w:rFonts w:ascii="Arial" w:cs="Arial" w:eastAsia="Arial" w:hAnsi="Arial"/>
          <w:color w:val="262626"/>
          <w:sz w:val="21"/>
          <w:szCs w:val="21"/>
        </w:rPr>
        <w:t xml:space="preserve">Understand, value and celebrate difference</w:t>
      </w:r>
    </w:p>
    <w:p>
      <w:pPr>
        <w:pStyle w:val="ListParagraph"/>
        <w:numPr>
          <w:ilvl w:val="0"/>
          <w:numId w:val="2"/>
        </w:numPr>
        <w:spacing w:after="90" w:line="276"/>
      </w:pPr>
      <w:r>
        <w:rPr>
          <w:rFonts w:ascii="Arial" w:cs="Arial" w:eastAsia="Arial" w:hAnsi="Arial"/>
          <w:color w:val="262626"/>
          <w:sz w:val="21"/>
          <w:szCs w:val="21"/>
        </w:rPr>
        <w:t xml:space="preserve">Develop curiosity and genuine respect for others</w:t>
      </w:r>
    </w:p>
    <w:tbl>
      <w:tblPr>
        <w:tblW w:type="pct" w:w="100%"/>
        <w:tblBorders>
          <w:top w:val="single" w:color="C9A84C" w:sz="4"/>
          <w:left w:val="single" w:color="C9A84C" w:sz="4"/>
          <w:bottom w:val="single" w:color="C9A84C" w:sz="4"/>
          <w:right w:val="single" w:color="C9A84C" w:sz="4"/>
          <w:insideH w:val="none" w:color="FFFFFF" w:sz="0"/>
          <w:insideV w:val="none" w:color="FFFFFF" w:sz="0"/>
        </w:tblBorders>
      </w:tblPr>
      <w:tblGrid>
        <w:gridCol w:w="100"/>
        <w:gridCol w:w="100"/>
      </w:tblGrid>
      <w:tr>
        <w:tc>
          <w:tcPr>
            <w:tcW w:type="pct" w:w="22%"/>
            <w:shd w:fill="5B2D8E" w:val="clear"/>
            <w:tcMar>
              <w:top w:type="dxa" w:w="90"/>
              <w:left w:type="dxa" w:w="130"/>
              <w:bottom w:type="dxa" w:w="90"/>
              <w:right w:type="dxa" w:w="100"/>
            </w:tcMar>
            <w:vAlign w:val="center"/>
          </w:tcPr>
          <w:p>
            <w:r>
              <w:rPr>
                <w:rFonts w:ascii="Arial" w:cs="Arial" w:eastAsia="Arial" w:hAnsi="Arial"/>
                <w:b/>
                <w:bCs/>
                <w:color w:val="FFFFFF"/>
                <w:sz w:val="16"/>
                <w:szCs w:val="16"/>
              </w:rPr>
              <w:t xml:space="preserve">AP Standard Part 4</w:t>
            </w:r>
          </w:p>
        </w:tc>
        <w:tc>
          <w:tcPr>
            <w:tcW w:type="pct" w:w="78%"/>
            <w:shd w:fill="FBF7EC" w:val="clear"/>
            <w:tcMar>
              <w:top w:type="dxa" w:w="90"/>
              <w:left w:type="dxa" w:w="130"/>
              <w:bottom w:type="dxa" w:w="90"/>
              <w:right w:type="dxa" w:w="130"/>
            </w:tcMar>
            <w:vAlign w:val="center"/>
          </w:tcPr>
          <w:p>
            <w:r>
              <w:rPr>
                <w:rFonts w:ascii="Arial" w:cs="Arial" w:eastAsia="Arial" w:hAnsi="Arial"/>
                <w:i/>
                <w:iCs/>
                <w:color w:val="262626"/>
                <w:sz w:val="17"/>
                <w:szCs w:val="17"/>
              </w:rPr>
              <w:t xml:space="preserve">Quality of education: provision should actively promote equality of opportunity and foster good relations between people of different backgrounds, beliefs and characteristics.</w:t>
            </w:r>
          </w:p>
        </w:tc>
      </w:tr>
    </w:tbl>
    <w:p>
      <w:pPr>
        <w:spacing w:after="120"/>
      </w:pPr>
    </w:p>
    <w:p>
      <w:pPr>
        <w:pStyle w:val="Heading1"/>
        <w:pBdr>
          <w:bottom w:val="single" w:color="C9A84C" w:sz="8" w:space="4"/>
        </w:pBdr>
        <w:spacing w:after="160" w:before="360"/>
      </w:pPr>
      <w:r>
        <w:rPr>
          <w:rFonts w:ascii="Arial" w:cs="Arial" w:eastAsia="Arial" w:hAnsi="Arial"/>
          <w:b/>
          <w:bCs/>
          <w:color w:val="5B2D8E"/>
          <w:sz w:val="30"/>
          <w:szCs w:val="30"/>
        </w:rPr>
        <w:t xml:space="preserve">5. Prevent Duty and Safeguarding from Radicalisation</w:t>
      </w:r>
    </w:p>
    <w:p>
      <w:pPr>
        <w:spacing w:after="160" w:line="276"/>
      </w:pPr>
      <w:r>
        <w:rPr>
          <w:rFonts w:ascii="Arial" w:cs="Arial" w:eastAsia="Arial" w:hAnsi="Arial"/>
          <w:b w:val="false"/>
          <w:bCs w:val="false"/>
          <w:i w:val="false"/>
          <w:iCs w:val="false"/>
          <w:color w:val="262626"/>
          <w:sz w:val="21"/>
          <w:szCs w:val="21"/>
        </w:rPr>
        <w:t xml:space="preserve">At Futures-Essex, safeguarding learners from radicalisation is embedded within our wider safeguarding responsibilities under Section 26 of the Counter-Terrorism and Security Act 2015. We treat radicalisation as a safeguarding concern — not a behavioural or disciplinary matter.</w:t>
      </w:r>
    </w:p>
    <w:p>
      <w:pPr>
        <w:spacing w:after="160" w:line="276"/>
      </w:pPr>
      <w:r>
        <w:rPr>
          <w:rFonts w:ascii="Arial" w:cs="Arial" w:eastAsia="Arial" w:hAnsi="Arial"/>
          <w:b w:val="false"/>
          <w:bCs w:val="false"/>
          <w:i w:val="false"/>
          <w:iCs w:val="false"/>
          <w:color w:val="262626"/>
          <w:sz w:val="21"/>
          <w:szCs w:val="21"/>
        </w:rPr>
        <w:t xml:space="preserve">Current Prevent Duty guidance sets out three core objectives for education settings: responding to the ideological challenge of terrorism, preventing people from being drawn into terrorism through early intervention and support, and working with key partners — schools, local authorities, police and health — to address radicalisation risks together. Guidance also highlights the importance of reducing permissive environments, where extremist narratives can otherwise take hold unchallenged — a principle we build into our curriculum and pastoral culture, not just our incident response.</w:t>
      </w:r>
    </w:p>
    <w:p>
      <w:pPr>
        <w:spacing w:after="160" w:line="276"/>
      </w:pPr>
      <w:r>
        <w:rPr>
          <w:rFonts w:ascii="Arial" w:cs="Arial" w:eastAsia="Arial" w:hAnsi="Arial"/>
          <w:b w:val="false"/>
          <w:bCs w:val="false"/>
          <w:i w:val="false"/>
          <w:iCs w:val="false"/>
          <w:color w:val="262626"/>
          <w:sz w:val="21"/>
          <w:szCs w:val="21"/>
        </w:rPr>
        <w:t xml:space="preserve">We recognise that radicalisation can occur through a range of online and offline influences, including extremist ideologies, harmful narratives, conspiracy theories, misinformation and individuals who seek to exploit vulnerabilities. The threat picture is broad and evolving, and includes Islamist and extreme right-wing extremism, incel-related and misogyny-linked extremism, and mixed, unstable or unclear ideologies that do not fit a single category. Vulnerability to radicalisation is understood as the result of a combination of factors rather than a single cause.</w:t>
      </w:r>
    </w:p>
    <w:p>
      <w:pPr>
        <w:pStyle w:val="Heading2"/>
        <w:spacing w:after="120" w:before="260"/>
      </w:pPr>
      <w:r>
        <w:rPr>
          <w:rFonts w:ascii="Arial" w:cs="Arial" w:eastAsia="Arial" w:hAnsi="Arial"/>
          <w:b/>
          <w:bCs/>
          <w:color w:val="C9A84C"/>
          <w:sz w:val="24"/>
          <w:szCs w:val="24"/>
        </w:rPr>
        <w:t xml:space="preserve">Vulnerability Factors</w:t>
      </w:r>
    </w:p>
    <w:p>
      <w:pPr>
        <w:spacing w:after="160" w:line="276"/>
      </w:pPr>
      <w:r>
        <w:rPr>
          <w:rFonts w:ascii="Arial" w:cs="Arial" w:eastAsia="Arial" w:hAnsi="Arial"/>
          <w:b w:val="false"/>
          <w:bCs w:val="false"/>
          <w:i w:val="false"/>
          <w:iCs w:val="false"/>
          <w:color w:val="262626"/>
          <w:sz w:val="21"/>
          <w:szCs w:val="21"/>
        </w:rPr>
        <w:t xml:space="preserve">Factors that can increase vulnerability to radicalisation or exploitation include:</w:t>
      </w:r>
    </w:p>
    <w:p>
      <w:pPr>
        <w:pStyle w:val="ListParagraph"/>
        <w:numPr>
          <w:ilvl w:val="0"/>
          <w:numId w:val="2"/>
        </w:numPr>
        <w:spacing w:after="90" w:line="276"/>
      </w:pPr>
      <w:r>
        <w:rPr>
          <w:rFonts w:ascii="Arial" w:cs="Arial" w:eastAsia="Arial" w:hAnsi="Arial"/>
          <w:color w:val="262626"/>
          <w:sz w:val="21"/>
          <w:szCs w:val="21"/>
        </w:rPr>
        <w:t xml:space="preserve">Social isolation and limited peer support</w:t>
      </w:r>
    </w:p>
    <w:p>
      <w:pPr>
        <w:pStyle w:val="ListParagraph"/>
        <w:numPr>
          <w:ilvl w:val="0"/>
          <w:numId w:val="2"/>
        </w:numPr>
        <w:spacing w:after="90" w:line="276"/>
      </w:pPr>
      <w:r>
        <w:rPr>
          <w:rFonts w:ascii="Arial" w:cs="Arial" w:eastAsia="Arial" w:hAnsi="Arial"/>
          <w:color w:val="262626"/>
          <w:sz w:val="21"/>
          <w:szCs w:val="21"/>
        </w:rPr>
        <w:t xml:space="preserve">Mental health difficulties and emotional distress</w:t>
      </w:r>
    </w:p>
    <w:p>
      <w:pPr>
        <w:pStyle w:val="ListParagraph"/>
        <w:numPr>
          <w:ilvl w:val="0"/>
          <w:numId w:val="2"/>
        </w:numPr>
        <w:spacing w:after="90" w:line="276"/>
      </w:pPr>
      <w:r>
        <w:rPr>
          <w:rFonts w:ascii="Arial" w:cs="Arial" w:eastAsia="Arial" w:hAnsi="Arial"/>
          <w:color w:val="262626"/>
          <w:sz w:val="21"/>
          <w:szCs w:val="21"/>
        </w:rPr>
        <w:t xml:space="preserve">Low self-esteem or poor sense of personal identity</w:t>
      </w:r>
    </w:p>
    <w:p>
      <w:pPr>
        <w:pStyle w:val="ListParagraph"/>
        <w:numPr>
          <w:ilvl w:val="0"/>
          <w:numId w:val="2"/>
        </w:numPr>
        <w:spacing w:after="90" w:line="276"/>
      </w:pPr>
      <w:r>
        <w:rPr>
          <w:rFonts w:ascii="Arial" w:cs="Arial" w:eastAsia="Arial" w:hAnsi="Arial"/>
          <w:color w:val="262626"/>
          <w:sz w:val="21"/>
          <w:szCs w:val="21"/>
        </w:rPr>
        <w:t xml:space="preserve">Trauma and adverse childhood experiences</w:t>
      </w:r>
    </w:p>
    <w:p>
      <w:pPr>
        <w:pStyle w:val="ListParagraph"/>
        <w:numPr>
          <w:ilvl w:val="0"/>
          <w:numId w:val="2"/>
        </w:numPr>
        <w:spacing w:after="90" w:line="276"/>
      </w:pPr>
      <w:r>
        <w:rPr>
          <w:rFonts w:ascii="Arial" w:cs="Arial" w:eastAsia="Arial" w:hAnsi="Arial"/>
          <w:color w:val="262626"/>
          <w:sz w:val="21"/>
          <w:szCs w:val="21"/>
        </w:rPr>
        <w:t xml:space="preserve">SEND and communication difficulties</w:t>
      </w:r>
    </w:p>
    <w:p>
      <w:pPr>
        <w:pStyle w:val="ListParagraph"/>
        <w:numPr>
          <w:ilvl w:val="0"/>
          <w:numId w:val="2"/>
        </w:numPr>
        <w:spacing w:after="90" w:line="276"/>
      </w:pPr>
      <w:r>
        <w:rPr>
          <w:rFonts w:ascii="Arial" w:cs="Arial" w:eastAsia="Arial" w:hAnsi="Arial"/>
          <w:color w:val="262626"/>
          <w:sz w:val="21"/>
          <w:szCs w:val="21"/>
        </w:rPr>
        <w:t xml:space="preserve">Experiences of discrimination, exclusion or marginalisation</w:t>
      </w:r>
    </w:p>
    <w:p>
      <w:pPr>
        <w:pStyle w:val="ListParagraph"/>
        <w:numPr>
          <w:ilvl w:val="0"/>
          <w:numId w:val="2"/>
        </w:numPr>
        <w:spacing w:after="90" w:line="276"/>
      </w:pPr>
      <w:r>
        <w:rPr>
          <w:rFonts w:ascii="Arial" w:cs="Arial" w:eastAsia="Arial" w:hAnsi="Arial"/>
          <w:color w:val="262626"/>
          <w:sz w:val="21"/>
          <w:szCs w:val="21"/>
        </w:rPr>
        <w:t xml:space="preserve">Unmet needs around identity, belonging or acceptance</w:t>
      </w:r>
    </w:p>
    <w:p>
      <w:pPr>
        <w:pStyle w:val="ListParagraph"/>
        <w:numPr>
          <w:ilvl w:val="0"/>
          <w:numId w:val="2"/>
        </w:numPr>
        <w:spacing w:after="90" w:line="276"/>
      </w:pPr>
      <w:r>
        <w:rPr>
          <w:rFonts w:ascii="Arial" w:cs="Arial" w:eastAsia="Arial" w:hAnsi="Arial"/>
          <w:color w:val="262626"/>
          <w:sz w:val="21"/>
          <w:szCs w:val="21"/>
        </w:rPr>
        <w:t xml:space="preserve">Online exploitation and exposure to harmful content</w:t>
      </w:r>
    </w:p>
    <w:p>
      <w:pPr>
        <w:spacing w:after="160" w:line="276"/>
      </w:pPr>
      <w:r>
        <w:rPr>
          <w:rFonts w:ascii="Arial" w:cs="Arial" w:eastAsia="Arial" w:hAnsi="Arial"/>
          <w:b w:val="false"/>
          <w:bCs w:val="false"/>
          <w:i w:val="false"/>
          <w:iCs w:val="false"/>
          <w:color w:val="262626"/>
          <w:sz w:val="21"/>
          <w:szCs w:val="21"/>
        </w:rPr>
        <w:t xml:space="preserve">Many young people supported by Futures-Essex have experienced one or more of these factors. We therefore adopt a safeguarding-led, relational and trauma-informed approach to identifying, understanding and responding to concerns.</w:t>
      </w:r>
    </w:p>
    <w:tbl>
      <w:tblPr>
        <w:tblW w:type="pct" w:w="100%"/>
        <w:tblBorders>
          <w:top w:val="single" w:color="C9A84C" w:sz="4"/>
          <w:left w:val="single" w:color="C9A84C" w:sz="4"/>
          <w:bottom w:val="single" w:color="C9A84C" w:sz="4"/>
          <w:right w:val="single" w:color="C9A84C" w:sz="4"/>
          <w:insideH w:val="none" w:color="FFFFFF" w:sz="0"/>
          <w:insideV w:val="none" w:color="FFFFFF" w:sz="0"/>
        </w:tblBorders>
      </w:tblPr>
      <w:tblGrid>
        <w:gridCol w:w="100"/>
        <w:gridCol w:w="100"/>
      </w:tblGrid>
      <w:tr>
        <w:tc>
          <w:tcPr>
            <w:tcW w:type="pct" w:w="22%"/>
            <w:shd w:fill="5B2D8E" w:val="clear"/>
            <w:tcMar>
              <w:top w:type="dxa" w:w="90"/>
              <w:left w:type="dxa" w:w="130"/>
              <w:bottom w:type="dxa" w:w="90"/>
              <w:right w:type="dxa" w:w="100"/>
            </w:tcMar>
            <w:vAlign w:val="center"/>
          </w:tcPr>
          <w:p>
            <w:r>
              <w:rPr>
                <w:rFonts w:ascii="Arial" w:cs="Arial" w:eastAsia="Arial" w:hAnsi="Arial"/>
                <w:b/>
                <w:bCs/>
                <w:color w:val="FFFFFF"/>
                <w:sz w:val="16"/>
                <w:szCs w:val="16"/>
              </w:rPr>
              <w:t xml:space="preserve">AP Standard 1.3</w:t>
            </w:r>
          </w:p>
        </w:tc>
        <w:tc>
          <w:tcPr>
            <w:tcW w:type="pct" w:w="78%"/>
            <w:shd w:fill="FBF7EC" w:val="clear"/>
            <w:tcMar>
              <w:top w:type="dxa" w:w="90"/>
              <w:left w:type="dxa" w:w="130"/>
              <w:bottom w:type="dxa" w:w="90"/>
              <w:right w:type="dxa" w:w="130"/>
            </w:tcMar>
            <w:vAlign w:val="center"/>
          </w:tcPr>
          <w:p>
            <w:r>
              <w:rPr>
                <w:rFonts w:ascii="Arial" w:cs="Arial" w:eastAsia="Arial" w:hAnsi="Arial"/>
                <w:i/>
                <w:iCs/>
                <w:color w:val="262626"/>
                <w:sz w:val="17"/>
                <w:szCs w:val="17"/>
              </w:rPr>
              <w:t xml:space="preserve">Robust procedures must be in place for how to respond when a safeguarding or welfare concern arises, including escalation routes, recording processes and engagement with external partners where appropriate.</w:t>
            </w:r>
          </w:p>
        </w:tc>
      </w:tr>
    </w:tbl>
    <w:p>
      <w:pPr>
        <w:spacing w:after="120"/>
      </w:pPr>
    </w:p>
    <w:p>
      <w:pPr>
        <w:pStyle w:val="Heading2"/>
        <w:spacing w:after="120" w:before="260"/>
      </w:pPr>
      <w:r>
        <w:rPr>
          <w:rFonts w:ascii="Arial" w:cs="Arial" w:eastAsia="Arial" w:hAnsi="Arial"/>
          <w:b/>
          <w:bCs/>
          <w:color w:val="C9A84C"/>
          <w:sz w:val="24"/>
          <w:szCs w:val="24"/>
        </w:rPr>
        <w:t xml:space="preserve">Responding to Concerns</w:t>
      </w:r>
    </w:p>
    <w:p>
      <w:pPr>
        <w:spacing w:after="160" w:line="276"/>
      </w:pPr>
      <w:r>
        <w:rPr>
          <w:rFonts w:ascii="Arial" w:cs="Arial" w:eastAsia="Arial" w:hAnsi="Arial"/>
          <w:b w:val="false"/>
          <w:bCs w:val="false"/>
          <w:i w:val="false"/>
          <w:iCs w:val="false"/>
          <w:color w:val="262626"/>
          <w:sz w:val="21"/>
          <w:szCs w:val="21"/>
        </w:rPr>
        <w:t xml:space="preserve">Any concerns relating to radicalisation, extremism or harmful influences will be managed through our safeguarding procedures. Depending on the level of concern, responses will include:</w:t>
      </w:r>
    </w:p>
    <w:p>
      <w:pPr>
        <w:pStyle w:val="ListParagraph"/>
        <w:numPr>
          <w:ilvl w:val="0"/>
          <w:numId w:val="2"/>
        </w:numPr>
        <w:spacing w:after="90" w:line="276"/>
      </w:pPr>
      <w:r>
        <w:rPr>
          <w:rFonts w:ascii="Arial" w:cs="Arial" w:eastAsia="Arial" w:hAnsi="Arial"/>
          <w:color w:val="262626"/>
          <w:sz w:val="21"/>
          <w:szCs w:val="21"/>
        </w:rPr>
        <w:t xml:space="preserve">Internal pastoral support and discussion with a DSL</w:t>
      </w:r>
    </w:p>
    <w:p>
      <w:pPr>
        <w:pStyle w:val="ListParagraph"/>
        <w:numPr>
          <w:ilvl w:val="0"/>
          <w:numId w:val="2"/>
        </w:numPr>
        <w:spacing w:after="90" w:line="276"/>
      </w:pPr>
      <w:r>
        <w:rPr>
          <w:rFonts w:ascii="Arial" w:cs="Arial" w:eastAsia="Arial" w:hAnsi="Arial"/>
          <w:color w:val="262626"/>
          <w:sz w:val="21"/>
          <w:szCs w:val="21"/>
        </w:rPr>
        <w:t xml:space="preserve">Referral to external agencies, including Prevent partners</w:t>
      </w:r>
    </w:p>
    <w:p>
      <w:pPr>
        <w:pStyle w:val="ListParagraph"/>
        <w:numPr>
          <w:ilvl w:val="0"/>
          <w:numId w:val="2"/>
        </w:numPr>
        <w:spacing w:after="90" w:line="276"/>
      </w:pPr>
      <w:r>
        <w:rPr>
          <w:rFonts w:ascii="Arial" w:cs="Arial" w:eastAsia="Arial" w:hAnsi="Arial"/>
          <w:color w:val="262626"/>
          <w:sz w:val="21"/>
          <w:szCs w:val="21"/>
        </w:rPr>
        <w:t xml:space="preserve">Referral to local authority children's social care where there is a risk of significant harm</w:t>
      </w:r>
    </w:p>
    <w:p>
      <w:pPr>
        <w:pStyle w:val="ListParagraph"/>
        <w:numPr>
          <w:ilvl w:val="0"/>
          <w:numId w:val="2"/>
        </w:numPr>
        <w:spacing w:after="90" w:line="276"/>
      </w:pPr>
      <w:r>
        <w:rPr>
          <w:rFonts w:ascii="Arial" w:cs="Arial" w:eastAsia="Arial" w:hAnsi="Arial"/>
          <w:color w:val="262626"/>
          <w:sz w:val="21"/>
          <w:szCs w:val="21"/>
        </w:rPr>
        <w:t xml:space="preserve">Immediate contact with police where a child is at immediate risk</w:t>
      </w:r>
    </w:p>
    <w:p>
      <w:pPr>
        <w:spacing w:after="160" w:line="276"/>
      </w:pPr>
      <w:r>
        <w:rPr>
          <w:rFonts w:ascii="Arial" w:cs="Arial" w:eastAsia="Arial" w:hAnsi="Arial"/>
          <w:b w:val="false"/>
          <w:bCs w:val="false"/>
          <w:i w:val="false"/>
          <w:iCs w:val="false"/>
          <w:color w:val="262626"/>
          <w:sz w:val="21"/>
          <w:szCs w:val="21"/>
        </w:rPr>
        <w:t xml:space="preserve">All concerns will be recorded and shared appropriately with commissioning schools, local authorities and relevant statutory bodies. Concerns can be raised anonymously.</w:t>
      </w:r>
    </w:p>
    <w:tbl>
      <w:tblPr>
        <w:tblW w:type="pct" w:w="100%"/>
        <w:tblBorders>
          <w:top w:val="single" w:color="C9A84C" w:sz="4"/>
          <w:left w:val="single" w:color="C9A84C" w:sz="4"/>
          <w:bottom w:val="single" w:color="C9A84C" w:sz="4"/>
          <w:right w:val="single" w:color="C9A84C" w:sz="4"/>
          <w:insideH w:val="none" w:color="FFFFFF" w:sz="0"/>
          <w:insideV w:val="none" w:color="FFFFFF" w:sz="0"/>
        </w:tblBorders>
      </w:tblPr>
      <w:tblGrid>
        <w:gridCol w:w="100"/>
        <w:gridCol w:w="100"/>
      </w:tblGrid>
      <w:tr>
        <w:tc>
          <w:tcPr>
            <w:tcW w:type="pct" w:w="22%"/>
            <w:shd w:fill="5B2D8E" w:val="clear"/>
            <w:tcMar>
              <w:top w:type="dxa" w:w="90"/>
              <w:left w:type="dxa" w:w="130"/>
              <w:bottom w:type="dxa" w:w="90"/>
              <w:right w:type="dxa" w:w="100"/>
            </w:tcMar>
            <w:vAlign w:val="center"/>
          </w:tcPr>
          <w:p>
            <w:r>
              <w:rPr>
                <w:rFonts w:ascii="Arial" w:cs="Arial" w:eastAsia="Arial" w:hAnsi="Arial"/>
                <w:b/>
                <w:bCs/>
                <w:color w:val="FFFFFF"/>
                <w:sz w:val="16"/>
                <w:szCs w:val="16"/>
              </w:rPr>
              <w:t xml:space="preserve">AP Standard 1.2</w:t>
            </w:r>
          </w:p>
        </w:tc>
        <w:tc>
          <w:tcPr>
            <w:tcW w:type="pct" w:w="78%"/>
            <w:shd w:fill="FBF7EC" w:val="clear"/>
            <w:tcMar>
              <w:top w:type="dxa" w:w="90"/>
              <w:left w:type="dxa" w:w="130"/>
              <w:bottom w:type="dxa" w:w="90"/>
              <w:right w:type="dxa" w:w="130"/>
            </w:tcMar>
            <w:vAlign w:val="center"/>
          </w:tcPr>
          <w:p>
            <w:r>
              <w:rPr>
                <w:rFonts w:ascii="Arial" w:cs="Arial" w:eastAsia="Arial" w:hAnsi="Arial"/>
                <w:i/>
                <w:iCs/>
                <w:color w:val="262626"/>
                <w:sz w:val="17"/>
                <w:szCs w:val="17"/>
              </w:rPr>
              <w:t xml:space="preserve">All providers must have a child protection policy including sections relating to online safeguarding and how to escalate concerns, in line with Keeping Children Safe in Education (KCSIE 2026) and Working Together to Safeguard Children.</w:t>
            </w:r>
          </w:p>
        </w:tc>
      </w:tr>
    </w:tbl>
    <w:p>
      <w:pPr>
        <w:spacing w:after="120"/>
      </w:pPr>
    </w:p>
    <w:p>
      <w:pPr>
        <w:pStyle w:val="Heading1"/>
        <w:pBdr>
          <w:bottom w:val="single" w:color="C9A84C" w:sz="8" w:space="4"/>
        </w:pBdr>
        <w:spacing w:after="160" w:before="360"/>
      </w:pPr>
      <w:r>
        <w:rPr>
          <w:rFonts w:ascii="Arial" w:cs="Arial" w:eastAsia="Arial" w:hAnsi="Arial"/>
          <w:b/>
          <w:bCs/>
          <w:color w:val="5B2D8E"/>
          <w:sz w:val="30"/>
          <w:szCs w:val="30"/>
        </w:rPr>
        <w:t xml:space="preserve">6. PSHE, Citizenship and Prevent Education</w:t>
      </w:r>
    </w:p>
    <w:p>
      <w:pPr>
        <w:spacing w:after="160" w:line="276"/>
      </w:pPr>
      <w:r>
        <w:rPr>
          <w:rFonts w:ascii="Arial" w:cs="Arial" w:eastAsia="Arial" w:hAnsi="Arial"/>
          <w:b w:val="false"/>
          <w:bCs w:val="false"/>
          <w:i w:val="false"/>
          <w:iCs w:val="false"/>
          <w:color w:val="262626"/>
          <w:sz w:val="21"/>
          <w:szCs w:val="21"/>
        </w:rPr>
        <w:t xml:space="preserve">The promotion of British Values, safeguarding from radicalisation and the development of resilience to harmful influences are woven throughout our Personal, Social, Health and Economic (PSHE) education curriculum. Learning is delivered in a manner that is appropriate to each learner's age, developmental stage, individual needs and vulnerabilities, within a safe, supportive and non-judgemental environment.</w:t>
      </w:r>
    </w:p>
    <w:p>
      <w:pPr>
        <w:pStyle w:val="Heading2"/>
        <w:spacing w:after="120" w:before="260"/>
      </w:pPr>
      <w:r>
        <w:rPr>
          <w:rFonts w:ascii="Arial" w:cs="Arial" w:eastAsia="Arial" w:hAnsi="Arial"/>
          <w:b/>
          <w:bCs/>
          <w:color w:val="C9A84C"/>
          <w:sz w:val="24"/>
          <w:szCs w:val="24"/>
        </w:rPr>
        <w:t xml:space="preserve">Curriculum Topics</w:t>
      </w:r>
    </w:p>
    <w:p>
      <w:pPr>
        <w:spacing w:after="160" w:line="276"/>
      </w:pPr>
      <w:r>
        <w:rPr>
          <w:rFonts w:ascii="Arial" w:cs="Arial" w:eastAsia="Arial" w:hAnsi="Arial"/>
          <w:b w:val="false"/>
          <w:bCs w:val="false"/>
          <w:i w:val="false"/>
          <w:iCs w:val="false"/>
          <w:color w:val="262626"/>
          <w:sz w:val="21"/>
          <w:szCs w:val="21"/>
        </w:rPr>
        <w:t xml:space="preserve">Using high-quality, evidence-informed resources, learners explore topics including:</w:t>
      </w:r>
    </w:p>
    <w:p>
      <w:pPr>
        <w:pStyle w:val="ListParagraph"/>
        <w:numPr>
          <w:ilvl w:val="0"/>
          <w:numId w:val="2"/>
        </w:numPr>
        <w:spacing w:after="90" w:line="276"/>
      </w:pPr>
      <w:r>
        <w:rPr>
          <w:rFonts w:ascii="Arial" w:cs="Arial" w:eastAsia="Arial" w:hAnsi="Arial"/>
          <w:color w:val="262626"/>
          <w:sz w:val="21"/>
          <w:szCs w:val="21"/>
        </w:rPr>
        <w:t xml:space="preserve">Democracy and active citizenship</w:t>
      </w:r>
    </w:p>
    <w:p>
      <w:pPr>
        <w:pStyle w:val="ListParagraph"/>
        <w:numPr>
          <w:ilvl w:val="0"/>
          <w:numId w:val="2"/>
        </w:numPr>
        <w:spacing w:after="90" w:line="276"/>
      </w:pPr>
      <w:r>
        <w:rPr>
          <w:rFonts w:ascii="Arial" w:cs="Arial" w:eastAsia="Arial" w:hAnsi="Arial"/>
          <w:color w:val="262626"/>
          <w:sz w:val="21"/>
          <w:szCs w:val="21"/>
        </w:rPr>
        <w:t xml:space="preserve">Rights, responsibilities and the rule of law</w:t>
      </w:r>
    </w:p>
    <w:p>
      <w:pPr>
        <w:pStyle w:val="ListParagraph"/>
        <w:numPr>
          <w:ilvl w:val="0"/>
          <w:numId w:val="2"/>
        </w:numPr>
        <w:spacing w:after="90" w:line="276"/>
      </w:pPr>
      <w:r>
        <w:rPr>
          <w:rFonts w:ascii="Arial" w:cs="Arial" w:eastAsia="Arial" w:hAnsi="Arial"/>
          <w:color w:val="262626"/>
          <w:sz w:val="21"/>
          <w:szCs w:val="21"/>
        </w:rPr>
        <w:t xml:space="preserve">Equality, diversity and inclusion</w:t>
      </w:r>
    </w:p>
    <w:p>
      <w:pPr>
        <w:pStyle w:val="ListParagraph"/>
        <w:numPr>
          <w:ilvl w:val="0"/>
          <w:numId w:val="2"/>
        </w:numPr>
        <w:spacing w:after="90" w:line="276"/>
      </w:pPr>
      <w:r>
        <w:rPr>
          <w:rFonts w:ascii="Arial" w:cs="Arial" w:eastAsia="Arial" w:hAnsi="Arial"/>
          <w:color w:val="262626"/>
          <w:sz w:val="21"/>
          <w:szCs w:val="21"/>
        </w:rPr>
        <w:t xml:space="preserve">Respectful relationships and healthy communication</w:t>
      </w:r>
    </w:p>
    <w:p>
      <w:pPr>
        <w:pStyle w:val="ListParagraph"/>
        <w:numPr>
          <w:ilvl w:val="0"/>
          <w:numId w:val="2"/>
        </w:numPr>
        <w:spacing w:after="90" w:line="276"/>
      </w:pPr>
      <w:r>
        <w:rPr>
          <w:rFonts w:ascii="Arial" w:cs="Arial" w:eastAsia="Arial" w:hAnsi="Arial"/>
          <w:color w:val="262626"/>
          <w:sz w:val="21"/>
          <w:szCs w:val="21"/>
        </w:rPr>
        <w:t xml:space="preserve">Online safety and digital literacy</w:t>
      </w:r>
    </w:p>
    <w:p>
      <w:pPr>
        <w:pStyle w:val="ListParagraph"/>
        <w:numPr>
          <w:ilvl w:val="0"/>
          <w:numId w:val="2"/>
        </w:numPr>
        <w:spacing w:after="90" w:line="276"/>
      </w:pPr>
      <w:r>
        <w:rPr>
          <w:rFonts w:ascii="Arial" w:cs="Arial" w:eastAsia="Arial" w:hAnsi="Arial"/>
          <w:color w:val="262626"/>
          <w:sz w:val="21"/>
          <w:szCs w:val="21"/>
        </w:rPr>
        <w:t xml:space="preserve">Critical thinking and evaluating information</w:t>
      </w:r>
    </w:p>
    <w:p>
      <w:pPr>
        <w:pStyle w:val="ListParagraph"/>
        <w:numPr>
          <w:ilvl w:val="0"/>
          <w:numId w:val="2"/>
        </w:numPr>
        <w:spacing w:after="90" w:line="276"/>
      </w:pPr>
      <w:r>
        <w:rPr>
          <w:rFonts w:ascii="Arial" w:cs="Arial" w:eastAsia="Arial" w:hAnsi="Arial"/>
          <w:color w:val="262626"/>
          <w:sz w:val="21"/>
          <w:szCs w:val="21"/>
        </w:rPr>
        <w:t xml:space="preserve">Misinformation, disinformation and conspiracy theories</w:t>
      </w:r>
    </w:p>
    <w:p>
      <w:pPr>
        <w:pStyle w:val="ListParagraph"/>
        <w:numPr>
          <w:ilvl w:val="0"/>
          <w:numId w:val="2"/>
        </w:numPr>
        <w:spacing w:after="90" w:line="276"/>
      </w:pPr>
      <w:r>
        <w:rPr>
          <w:rFonts w:ascii="Arial" w:cs="Arial" w:eastAsia="Arial" w:hAnsi="Arial"/>
          <w:color w:val="262626"/>
          <w:sz w:val="21"/>
          <w:szCs w:val="21"/>
        </w:rPr>
        <w:t xml:space="preserve">Identity, belonging and community cohesion</w:t>
      </w:r>
    </w:p>
    <w:p>
      <w:pPr>
        <w:pStyle w:val="ListParagraph"/>
        <w:numPr>
          <w:ilvl w:val="0"/>
          <w:numId w:val="2"/>
        </w:numPr>
        <w:spacing w:after="90" w:line="276"/>
      </w:pPr>
      <w:r>
        <w:rPr>
          <w:rFonts w:ascii="Arial" w:cs="Arial" w:eastAsia="Arial" w:hAnsi="Arial"/>
          <w:color w:val="262626"/>
          <w:sz w:val="21"/>
          <w:szCs w:val="21"/>
        </w:rPr>
        <w:t xml:space="preserve">Extremism, radicalisation and exploitation</w:t>
      </w:r>
    </w:p>
    <w:p>
      <w:pPr>
        <w:pStyle w:val="ListParagraph"/>
        <w:numPr>
          <w:ilvl w:val="0"/>
          <w:numId w:val="2"/>
        </w:numPr>
        <w:spacing w:after="90" w:line="276"/>
      </w:pPr>
      <w:r>
        <w:rPr>
          <w:rFonts w:ascii="Arial" w:cs="Arial" w:eastAsia="Arial" w:hAnsi="Arial"/>
          <w:color w:val="262626"/>
          <w:sz w:val="21"/>
          <w:szCs w:val="21"/>
        </w:rPr>
        <w:t xml:space="preserve">Managing influence, peer pressure and risk-taking behaviours</w:t>
      </w:r>
    </w:p>
    <w:p>
      <w:pPr>
        <w:pStyle w:val="Heading2"/>
        <w:spacing w:after="120" w:before="260"/>
      </w:pPr>
      <w:r>
        <w:rPr>
          <w:rFonts w:ascii="Arial" w:cs="Arial" w:eastAsia="Arial" w:hAnsi="Arial"/>
          <w:b/>
          <w:bCs/>
          <w:color w:val="C9A84C"/>
          <w:sz w:val="24"/>
          <w:szCs w:val="24"/>
        </w:rPr>
        <w:t xml:space="preserve">Curriculum Resources</w:t>
      </w:r>
    </w:p>
    <w:p>
      <w:pPr>
        <w:spacing w:after="160" w:line="276"/>
      </w:pPr>
      <w:r>
        <w:rPr>
          <w:rFonts w:ascii="Arial" w:cs="Arial" w:eastAsia="Arial" w:hAnsi="Arial"/>
          <w:b w:val="false"/>
          <w:bCs w:val="false"/>
          <w:i w:val="false"/>
          <w:iCs w:val="false"/>
          <w:color w:val="262626"/>
          <w:sz w:val="21"/>
          <w:szCs w:val="21"/>
        </w:rPr>
        <w:t xml:space="preserve">Our PSHE curriculum draws upon a range of recognised and quality-assured educational resources, including:</w:t>
      </w:r>
    </w:p>
    <w:p>
      <w:pPr>
        <w:pStyle w:val="ListParagraph"/>
        <w:numPr>
          <w:ilvl w:val="0"/>
          <w:numId w:val="2"/>
        </w:numPr>
        <w:spacing w:after="90" w:line="276"/>
      </w:pPr>
      <w:r>
        <w:rPr>
          <w:rFonts w:ascii="Arial" w:cs="Arial" w:eastAsia="Arial" w:hAnsi="Arial"/>
          <w:color w:val="262626"/>
          <w:sz w:val="21"/>
          <w:szCs w:val="21"/>
        </w:rPr>
        <w:t xml:space="preserve">Educate Against Hate — government-endorsed resources for Prevent education</w:t>
      </w:r>
    </w:p>
    <w:p>
      <w:pPr>
        <w:pStyle w:val="ListParagraph"/>
        <w:numPr>
          <w:ilvl w:val="0"/>
          <w:numId w:val="2"/>
        </w:numPr>
        <w:spacing w:after="90" w:line="276"/>
      </w:pPr>
      <w:r>
        <w:rPr>
          <w:rFonts w:ascii="Arial" w:cs="Arial" w:eastAsia="Arial" w:hAnsi="Arial"/>
          <w:color w:val="262626"/>
          <w:sz w:val="21"/>
          <w:szCs w:val="21"/>
        </w:rPr>
        <w:t xml:space="preserve">ASDAN — personal development and life skills programmes</w:t>
      </w:r>
    </w:p>
    <w:p>
      <w:pPr>
        <w:pStyle w:val="ListParagraph"/>
        <w:numPr>
          <w:ilvl w:val="0"/>
          <w:numId w:val="2"/>
        </w:numPr>
        <w:spacing w:after="90" w:line="276"/>
      </w:pPr>
      <w:r>
        <w:rPr>
          <w:rFonts w:ascii="Arial" w:cs="Arial" w:eastAsia="Arial" w:hAnsi="Arial"/>
          <w:color w:val="262626"/>
          <w:sz w:val="21"/>
          <w:szCs w:val="21"/>
        </w:rPr>
        <w:t xml:space="preserve">The PSHE Association — evidence-based curriculum guidance and resources</w:t>
      </w:r>
    </w:p>
    <w:p>
      <w:pPr>
        <w:pStyle w:val="ListParagraph"/>
        <w:numPr>
          <w:ilvl w:val="0"/>
          <w:numId w:val="2"/>
        </w:numPr>
        <w:spacing w:after="90" w:line="276"/>
      </w:pPr>
      <w:r>
        <w:rPr>
          <w:rFonts w:ascii="Arial" w:cs="Arial" w:eastAsia="Arial" w:hAnsi="Arial"/>
          <w:color w:val="262626"/>
          <w:sz w:val="21"/>
          <w:szCs w:val="21"/>
        </w:rPr>
        <w:t xml:space="preserve">Department for Education guidance and statutory frameworks</w:t>
      </w:r>
    </w:p>
    <w:p>
      <w:pPr>
        <w:pStyle w:val="ListParagraph"/>
        <w:numPr>
          <w:ilvl w:val="0"/>
          <w:numId w:val="2"/>
        </w:numPr>
        <w:spacing w:after="90" w:line="276"/>
      </w:pPr>
      <w:r>
        <w:rPr>
          <w:rFonts w:ascii="Arial" w:cs="Arial" w:eastAsia="Arial" w:hAnsi="Arial"/>
          <w:color w:val="262626"/>
          <w:sz w:val="21"/>
          <w:szCs w:val="21"/>
        </w:rPr>
        <w:t xml:space="preserve">National Online Safety — age-appropriate online safety education</w:t>
      </w:r>
    </w:p>
    <w:p>
      <w:pPr>
        <w:pStyle w:val="ListParagraph"/>
        <w:numPr>
          <w:ilvl w:val="0"/>
          <w:numId w:val="2"/>
        </w:numPr>
        <w:spacing w:after="90" w:line="276"/>
      </w:pPr>
      <w:r>
        <w:rPr>
          <w:rFonts w:ascii="Arial" w:cs="Arial" w:eastAsia="Arial" w:hAnsi="Arial"/>
          <w:color w:val="262626"/>
          <w:sz w:val="21"/>
          <w:szCs w:val="21"/>
        </w:rPr>
        <w:t xml:space="preserve">Other approved safeguarding and wellbeing programmes</w:t>
      </w:r>
    </w:p>
    <w:tbl>
      <w:tblPr>
        <w:tblW w:type="pct" w:w="100%"/>
        <w:tblBorders>
          <w:top w:val="single" w:color="C9A84C" w:sz="4"/>
          <w:left w:val="single" w:color="C9A84C" w:sz="4"/>
          <w:bottom w:val="single" w:color="C9A84C" w:sz="4"/>
          <w:right w:val="single" w:color="C9A84C" w:sz="4"/>
          <w:insideH w:val="none" w:color="FFFFFF" w:sz="0"/>
          <w:insideV w:val="none" w:color="FFFFFF" w:sz="0"/>
        </w:tblBorders>
      </w:tblPr>
      <w:tblGrid>
        <w:gridCol w:w="100"/>
        <w:gridCol w:w="100"/>
      </w:tblGrid>
      <w:tr>
        <w:tc>
          <w:tcPr>
            <w:tcW w:type="pct" w:w="22%"/>
            <w:shd w:fill="5B2D8E" w:val="clear"/>
            <w:tcMar>
              <w:top w:type="dxa" w:w="90"/>
              <w:left w:type="dxa" w:w="130"/>
              <w:bottom w:type="dxa" w:w="90"/>
              <w:right w:type="dxa" w:w="100"/>
            </w:tcMar>
            <w:vAlign w:val="center"/>
          </w:tcPr>
          <w:p>
            <w:r>
              <w:rPr>
                <w:rFonts w:ascii="Arial" w:cs="Arial" w:eastAsia="Arial" w:hAnsi="Arial"/>
                <w:b/>
                <w:bCs/>
                <w:color w:val="FFFFFF"/>
                <w:sz w:val="16"/>
                <w:szCs w:val="16"/>
              </w:rPr>
              <w:t xml:space="preserve">AP Standard Part 4</w:t>
            </w:r>
          </w:p>
        </w:tc>
        <w:tc>
          <w:tcPr>
            <w:tcW w:type="pct" w:w="78%"/>
            <w:shd w:fill="FBF7EC" w:val="clear"/>
            <w:tcMar>
              <w:top w:type="dxa" w:w="90"/>
              <w:left w:type="dxa" w:w="130"/>
              <w:bottom w:type="dxa" w:w="90"/>
              <w:right w:type="dxa" w:w="130"/>
            </w:tcMar>
            <w:vAlign w:val="center"/>
          </w:tcPr>
          <w:p>
            <w:r>
              <w:rPr>
                <w:rFonts w:ascii="Arial" w:cs="Arial" w:eastAsia="Arial" w:hAnsi="Arial"/>
                <w:i/>
                <w:iCs/>
                <w:color w:val="262626"/>
                <w:sz w:val="17"/>
                <w:szCs w:val="17"/>
              </w:rPr>
              <w:t xml:space="preserve">Quality of education: provision should offer a broad and suitable curriculum that meets individual needs and supports re-engagement. PSHE and citizenship education, including Prevent, is an expected element of high-quality AP.</w:t>
            </w:r>
          </w:p>
        </w:tc>
      </w:tr>
    </w:tbl>
    <w:p>
      <w:pPr>
        <w:spacing w:after="120"/>
      </w:pPr>
    </w:p>
    <w:p>
      <w:pPr>
        <w:pStyle w:val="Heading1"/>
        <w:pBdr>
          <w:bottom w:val="single" w:color="C9A84C" w:sz="8" w:space="4"/>
        </w:pBdr>
        <w:spacing w:after="160" w:before="360"/>
      </w:pPr>
      <w:r>
        <w:rPr>
          <w:rFonts w:ascii="Arial" w:cs="Arial" w:eastAsia="Arial" w:hAnsi="Arial"/>
          <w:b/>
          <w:bCs/>
          <w:color w:val="5B2D8E"/>
          <w:sz w:val="30"/>
          <w:szCs w:val="30"/>
        </w:rPr>
        <w:t xml:space="preserve">7. Building Resilience</w:t>
      </w:r>
    </w:p>
    <w:p>
      <w:pPr>
        <w:spacing w:after="160" w:line="276"/>
      </w:pPr>
      <w:r>
        <w:rPr>
          <w:rFonts w:ascii="Arial" w:cs="Arial" w:eastAsia="Arial" w:hAnsi="Arial"/>
          <w:b w:val="false"/>
          <w:bCs w:val="false"/>
          <w:i w:val="false"/>
          <w:iCs w:val="false"/>
          <w:color w:val="262626"/>
          <w:sz w:val="21"/>
          <w:szCs w:val="21"/>
        </w:rPr>
        <w:t xml:space="preserve">Through our curriculum and therapeutic approach, we actively support learners to build resilience to harmful influences and develop the critical thinking skills they need to navigate modern life safely and confidently.</w:t>
      </w:r>
    </w:p>
    <w:p>
      <w:pPr>
        <w:spacing w:after="160" w:line="276"/>
      </w:pPr>
      <w:r>
        <w:rPr>
          <w:rFonts w:ascii="Arial" w:cs="Arial" w:eastAsia="Arial" w:hAnsi="Arial"/>
          <w:b w:val="false"/>
          <w:bCs w:val="false"/>
          <w:i w:val="false"/>
          <w:iCs w:val="false"/>
          <w:color w:val="262626"/>
          <w:sz w:val="21"/>
          <w:szCs w:val="21"/>
        </w:rPr>
        <w:t xml:space="preserve">Learners are supported to:</w:t>
      </w:r>
    </w:p>
    <w:p>
      <w:pPr>
        <w:pStyle w:val="ListParagraph"/>
        <w:numPr>
          <w:ilvl w:val="0"/>
          <w:numId w:val="2"/>
        </w:numPr>
        <w:spacing w:after="90" w:line="276"/>
      </w:pPr>
      <w:r>
        <w:rPr>
          <w:rFonts w:ascii="Arial" w:cs="Arial" w:eastAsia="Arial" w:hAnsi="Arial"/>
          <w:color w:val="262626"/>
          <w:sz w:val="21"/>
          <w:szCs w:val="21"/>
        </w:rPr>
        <w:t xml:space="preserve">Think critically about information they encounter online and offline</w:t>
      </w:r>
    </w:p>
    <w:p>
      <w:pPr>
        <w:pStyle w:val="ListParagraph"/>
        <w:numPr>
          <w:ilvl w:val="0"/>
          <w:numId w:val="2"/>
        </w:numPr>
        <w:spacing w:after="90" w:line="276"/>
      </w:pPr>
      <w:r>
        <w:rPr>
          <w:rFonts w:ascii="Arial" w:cs="Arial" w:eastAsia="Arial" w:hAnsi="Arial"/>
          <w:color w:val="262626"/>
          <w:sz w:val="21"/>
          <w:szCs w:val="21"/>
        </w:rPr>
        <w:t xml:space="preserve">Recognise misinformation, disinformation and conspiracy theories</w:t>
      </w:r>
    </w:p>
    <w:p>
      <w:pPr>
        <w:pStyle w:val="ListParagraph"/>
        <w:numPr>
          <w:ilvl w:val="0"/>
          <w:numId w:val="2"/>
        </w:numPr>
        <w:spacing w:after="90" w:line="276"/>
      </w:pPr>
      <w:r>
        <w:rPr>
          <w:rFonts w:ascii="Arial" w:cs="Arial" w:eastAsia="Arial" w:hAnsi="Arial"/>
          <w:color w:val="262626"/>
          <w:sz w:val="21"/>
          <w:szCs w:val="21"/>
        </w:rPr>
        <w:t xml:space="preserve">Develop media literacy and digital resilience skills</w:t>
      </w:r>
    </w:p>
    <w:p>
      <w:pPr>
        <w:pStyle w:val="ListParagraph"/>
        <w:numPr>
          <w:ilvl w:val="0"/>
          <w:numId w:val="2"/>
        </w:numPr>
        <w:spacing w:after="90" w:line="276"/>
      </w:pPr>
      <w:r>
        <w:rPr>
          <w:rFonts w:ascii="Arial" w:cs="Arial" w:eastAsia="Arial" w:hAnsi="Arial"/>
          <w:color w:val="262626"/>
          <w:sz w:val="21"/>
          <w:szCs w:val="21"/>
        </w:rPr>
        <w:t xml:space="preserve">Stay safe online and in their communities</w:t>
      </w:r>
    </w:p>
    <w:p>
      <w:pPr>
        <w:pStyle w:val="ListParagraph"/>
        <w:numPr>
          <w:ilvl w:val="0"/>
          <w:numId w:val="2"/>
        </w:numPr>
        <w:spacing w:after="90" w:line="276"/>
      </w:pPr>
      <w:r>
        <w:rPr>
          <w:rFonts w:ascii="Arial" w:cs="Arial" w:eastAsia="Arial" w:hAnsi="Arial"/>
          <w:color w:val="262626"/>
          <w:sz w:val="21"/>
          <w:szCs w:val="21"/>
        </w:rPr>
        <w:t xml:space="preserve">Understand how individuals or groups may attempt to manipulate or exploit vulnerabilities</w:t>
      </w:r>
    </w:p>
    <w:p>
      <w:pPr>
        <w:pStyle w:val="ListParagraph"/>
        <w:numPr>
          <w:ilvl w:val="0"/>
          <w:numId w:val="2"/>
        </w:numPr>
        <w:spacing w:after="90" w:line="276"/>
      </w:pPr>
      <w:r>
        <w:rPr>
          <w:rFonts w:ascii="Arial" w:cs="Arial" w:eastAsia="Arial" w:hAnsi="Arial"/>
          <w:color w:val="262626"/>
          <w:sz w:val="21"/>
          <w:szCs w:val="21"/>
        </w:rPr>
        <w:t xml:space="preserve">Respect differing viewpoints and engage in constructive debate</w:t>
      </w:r>
    </w:p>
    <w:p>
      <w:pPr>
        <w:pStyle w:val="ListParagraph"/>
        <w:numPr>
          <w:ilvl w:val="0"/>
          <w:numId w:val="2"/>
        </w:numPr>
        <w:spacing w:after="90" w:line="276"/>
      </w:pPr>
      <w:r>
        <w:rPr>
          <w:rFonts w:ascii="Arial" w:cs="Arial" w:eastAsia="Arial" w:hAnsi="Arial"/>
          <w:color w:val="262626"/>
          <w:sz w:val="21"/>
          <w:szCs w:val="21"/>
        </w:rPr>
        <w:t xml:space="preserve">Seek support when they are concerned about themselves or someone else</w:t>
      </w:r>
    </w:p>
    <w:p>
      <w:pPr>
        <w:spacing w:after="160" w:line="276"/>
      </w:pPr>
      <w:r>
        <w:rPr>
          <w:rFonts w:ascii="Arial" w:cs="Arial" w:eastAsia="Arial" w:hAnsi="Arial"/>
          <w:b w:val="false"/>
          <w:bCs w:val="false"/>
          <w:i w:val="false"/>
          <w:iCs w:val="false"/>
          <w:color w:val="262626"/>
          <w:sz w:val="21"/>
          <w:szCs w:val="21"/>
        </w:rPr>
        <w:t xml:space="preserve">We provide regular opportunities for learners to explore challenging topics in a safe, balanced and supportive environment, encouraging curiosity, respectful challenge and the development of informed, independent thinking.</w:t>
      </w:r>
    </w:p>
    <w:p>
      <w:pPr>
        <w:pStyle w:val="Heading1"/>
        <w:pBdr>
          <w:bottom w:val="single" w:color="C9A84C" w:sz="8" w:space="4"/>
        </w:pBdr>
        <w:spacing w:after="160" w:before="360"/>
      </w:pPr>
      <w:r>
        <w:rPr>
          <w:rFonts w:ascii="Arial" w:cs="Arial" w:eastAsia="Arial" w:hAnsi="Arial"/>
          <w:b/>
          <w:bCs/>
          <w:color w:val="5B2D8E"/>
          <w:sz w:val="30"/>
          <w:szCs w:val="30"/>
        </w:rPr>
        <w:t xml:space="preserve">8. Online Safety</w:t>
      </w:r>
    </w:p>
    <w:p>
      <w:pPr>
        <w:spacing w:after="160" w:line="276"/>
      </w:pPr>
      <w:r>
        <w:rPr>
          <w:rFonts w:ascii="Arial" w:cs="Arial" w:eastAsia="Arial" w:hAnsi="Arial"/>
          <w:b w:val="false"/>
          <w:bCs w:val="false"/>
          <w:i w:val="false"/>
          <w:iCs w:val="false"/>
          <w:color w:val="262626"/>
          <w:sz w:val="21"/>
          <w:szCs w:val="21"/>
        </w:rPr>
        <w:t xml:space="preserve">We recognise that online platforms, social media, gaming communities and digital content can expose young people to harmful influences, including radicalisation, exploitation and grooming. This increasingly includes AI-generated content — such as deepfakes and other synthetic media — and the wider digital exploitation risks highlighted in the current KCSIE 2026 update, alongside more established risks. Online safety is therefore an integral part of our safeguarding and curriculum approach.</w:t>
      </w:r>
    </w:p>
    <w:p>
      <w:pPr>
        <w:spacing w:after="160" w:line="276"/>
      </w:pPr>
      <w:r>
        <w:rPr>
          <w:rFonts w:ascii="Arial" w:cs="Arial" w:eastAsia="Arial" w:hAnsi="Arial"/>
          <w:b w:val="false"/>
          <w:bCs w:val="false"/>
          <w:i w:val="false"/>
          <w:iCs w:val="false"/>
          <w:color w:val="262626"/>
          <w:sz w:val="21"/>
          <w:szCs w:val="21"/>
        </w:rPr>
        <w:t xml:space="preserve">Our online safety approach includes:</w:t>
      </w:r>
    </w:p>
    <w:p>
      <w:pPr>
        <w:pStyle w:val="ListParagraph"/>
        <w:numPr>
          <w:ilvl w:val="0"/>
          <w:numId w:val="2"/>
        </w:numPr>
        <w:spacing w:after="90" w:line="276"/>
      </w:pPr>
      <w:r>
        <w:rPr>
          <w:rFonts w:ascii="Arial" w:cs="Arial" w:eastAsia="Arial" w:hAnsi="Arial"/>
          <w:color w:val="262626"/>
          <w:sz w:val="21"/>
          <w:szCs w:val="21"/>
        </w:rPr>
        <w:t xml:space="preserve">Appropriate filtering and monitoring systems at all delivery sites</w:t>
      </w:r>
    </w:p>
    <w:p>
      <w:pPr>
        <w:pStyle w:val="ListParagraph"/>
        <w:numPr>
          <w:ilvl w:val="0"/>
          <w:numId w:val="2"/>
        </w:numPr>
        <w:spacing w:after="90" w:line="276"/>
      </w:pPr>
      <w:r>
        <w:rPr>
          <w:rFonts w:ascii="Arial" w:cs="Arial" w:eastAsia="Arial" w:hAnsi="Arial"/>
          <w:color w:val="262626"/>
          <w:sz w:val="21"/>
          <w:szCs w:val="21"/>
        </w:rPr>
        <w:t xml:space="preserve">Active staff supervision and vigilance during sessions involving technology</w:t>
      </w:r>
    </w:p>
    <w:p>
      <w:pPr>
        <w:pStyle w:val="ListParagraph"/>
        <w:numPr>
          <w:ilvl w:val="0"/>
          <w:numId w:val="2"/>
        </w:numPr>
        <w:spacing w:after="90" w:line="276"/>
      </w:pPr>
      <w:r>
        <w:rPr>
          <w:rFonts w:ascii="Arial" w:cs="Arial" w:eastAsia="Arial" w:hAnsi="Arial"/>
          <w:color w:val="262626"/>
          <w:sz w:val="21"/>
          <w:szCs w:val="21"/>
        </w:rPr>
        <w:t xml:space="preserve">Online safety education woven throughout the PSHE curriculum, including awareness of AI-generated and synthetic content</w:t>
      </w:r>
    </w:p>
    <w:p>
      <w:pPr>
        <w:pStyle w:val="ListParagraph"/>
        <w:numPr>
          <w:ilvl w:val="0"/>
          <w:numId w:val="2"/>
        </w:numPr>
        <w:spacing w:after="90" w:line="276"/>
      </w:pPr>
      <w:r>
        <w:rPr>
          <w:rFonts w:ascii="Arial" w:cs="Arial" w:eastAsia="Arial" w:hAnsi="Arial"/>
          <w:color w:val="262626"/>
          <w:sz w:val="21"/>
          <w:szCs w:val="21"/>
        </w:rPr>
        <w:t xml:space="preserve">Digital literacy development to help young people navigate online spaces safely</w:t>
      </w:r>
    </w:p>
    <w:p>
      <w:pPr>
        <w:pStyle w:val="ListParagraph"/>
        <w:numPr>
          <w:ilvl w:val="0"/>
          <w:numId w:val="2"/>
        </w:numPr>
        <w:spacing w:after="90" w:line="276"/>
      </w:pPr>
      <w:r>
        <w:rPr>
          <w:rFonts w:ascii="Arial" w:cs="Arial" w:eastAsia="Arial" w:hAnsi="Arial"/>
          <w:color w:val="262626"/>
          <w:sz w:val="21"/>
          <w:szCs w:val="21"/>
        </w:rPr>
        <w:t xml:space="preserve">Support for families where online safety concerns are identified</w:t>
      </w:r>
    </w:p>
    <w:p>
      <w:pPr>
        <w:pStyle w:val="ListParagraph"/>
        <w:numPr>
          <w:ilvl w:val="0"/>
          <w:numId w:val="2"/>
        </w:numPr>
        <w:spacing w:after="90" w:line="276"/>
      </w:pPr>
      <w:r>
        <w:rPr>
          <w:rFonts w:ascii="Arial" w:cs="Arial" w:eastAsia="Arial" w:hAnsi="Arial"/>
          <w:color w:val="262626"/>
          <w:sz w:val="21"/>
          <w:szCs w:val="21"/>
        </w:rPr>
        <w:t xml:space="preserve">Clear safeguarding procedures for reporting and recording online concerns</w:t>
      </w:r>
    </w:p>
    <w:tbl>
      <w:tblPr>
        <w:tblW w:type="pct" w:w="100%"/>
        <w:tblBorders>
          <w:top w:val="single" w:color="C9A84C" w:sz="4"/>
          <w:left w:val="single" w:color="C9A84C" w:sz="4"/>
          <w:bottom w:val="single" w:color="C9A84C" w:sz="4"/>
          <w:right w:val="single" w:color="C9A84C" w:sz="4"/>
          <w:insideH w:val="none" w:color="FFFFFF" w:sz="0"/>
          <w:insideV w:val="none" w:color="FFFFFF" w:sz="0"/>
        </w:tblBorders>
      </w:tblPr>
      <w:tblGrid>
        <w:gridCol w:w="100"/>
        <w:gridCol w:w="100"/>
      </w:tblGrid>
      <w:tr>
        <w:tc>
          <w:tcPr>
            <w:tcW w:type="pct" w:w="22%"/>
            <w:shd w:fill="5B2D8E" w:val="clear"/>
            <w:tcMar>
              <w:top w:type="dxa" w:w="90"/>
              <w:left w:type="dxa" w:w="130"/>
              <w:bottom w:type="dxa" w:w="90"/>
              <w:right w:type="dxa" w:w="100"/>
            </w:tcMar>
            <w:vAlign w:val="center"/>
          </w:tcPr>
          <w:p>
            <w:r>
              <w:rPr>
                <w:rFonts w:ascii="Arial" w:cs="Arial" w:eastAsia="Arial" w:hAnsi="Arial"/>
                <w:b/>
                <w:bCs/>
                <w:color w:val="FFFFFF"/>
                <w:sz w:val="16"/>
                <w:szCs w:val="16"/>
              </w:rPr>
              <w:t xml:space="preserve">AP Standard 1.2</w:t>
            </w:r>
          </w:p>
        </w:tc>
        <w:tc>
          <w:tcPr>
            <w:tcW w:type="pct" w:w="78%"/>
            <w:shd w:fill="FBF7EC" w:val="clear"/>
            <w:tcMar>
              <w:top w:type="dxa" w:w="90"/>
              <w:left w:type="dxa" w:w="130"/>
              <w:bottom w:type="dxa" w:w="90"/>
              <w:right w:type="dxa" w:w="130"/>
            </w:tcMar>
            <w:vAlign w:val="center"/>
          </w:tcPr>
          <w:p>
            <w:r>
              <w:rPr>
                <w:rFonts w:ascii="Arial" w:cs="Arial" w:eastAsia="Arial" w:hAnsi="Arial"/>
                <w:i/>
                <w:iCs/>
                <w:color w:val="262626"/>
                <w:sz w:val="17"/>
                <w:szCs w:val="17"/>
              </w:rPr>
              <w:t xml:space="preserve">Child protection policies must include online safeguarding provisions. Providers should actively promote safe, responsible and respectful use of technology.</w:t>
            </w:r>
          </w:p>
        </w:tc>
      </w:tr>
    </w:tbl>
    <w:p>
      <w:pPr>
        <w:spacing w:after="120"/>
      </w:pPr>
    </w:p>
    <w:p>
      <w:pPr>
        <w:pStyle w:val="Heading1"/>
        <w:pBdr>
          <w:bottom w:val="single" w:color="C9A84C" w:sz="8" w:space="4"/>
        </w:pBdr>
        <w:spacing w:after="160" w:before="360"/>
      </w:pPr>
      <w:r>
        <w:rPr>
          <w:rFonts w:ascii="Arial" w:cs="Arial" w:eastAsia="Arial" w:hAnsi="Arial"/>
          <w:b/>
          <w:bCs/>
          <w:color w:val="5B2D8E"/>
          <w:sz w:val="30"/>
          <w:szCs w:val="30"/>
        </w:rPr>
        <w:t xml:space="preserve">9. Partnerships and Community Engagement</w:t>
      </w:r>
    </w:p>
    <w:p>
      <w:pPr>
        <w:spacing w:after="160" w:line="276"/>
      </w:pPr>
      <w:r>
        <w:rPr>
          <w:rFonts w:ascii="Arial" w:cs="Arial" w:eastAsia="Arial" w:hAnsi="Arial"/>
          <w:b w:val="false"/>
          <w:bCs w:val="false"/>
          <w:i w:val="false"/>
          <w:iCs w:val="false"/>
          <w:color w:val="262626"/>
          <w:sz w:val="21"/>
          <w:szCs w:val="21"/>
        </w:rPr>
        <w:t xml:space="preserve">Futures-Essex works collaboratively with a range of partners to promote positive citizenship, aspiration, wellbeing and community engagement. These partnerships help us to maintain safe, high-quality provision that is responsive to the needs of our learners and the communities they belong to.</w:t>
      </w:r>
    </w:p>
    <w:p>
      <w:pPr>
        <w:spacing w:after="160" w:line="276"/>
      </w:pPr>
      <w:r>
        <w:rPr>
          <w:rFonts w:ascii="Arial" w:cs="Arial" w:eastAsia="Arial" w:hAnsi="Arial"/>
          <w:b w:val="false"/>
          <w:bCs w:val="false"/>
          <w:i w:val="false"/>
          <w:iCs w:val="false"/>
          <w:color w:val="262626"/>
          <w:sz w:val="21"/>
          <w:szCs w:val="21"/>
        </w:rPr>
        <w:t xml:space="preserve">We work closely with:</w:t>
      </w:r>
    </w:p>
    <w:p>
      <w:pPr>
        <w:pStyle w:val="ListParagraph"/>
        <w:numPr>
          <w:ilvl w:val="0"/>
          <w:numId w:val="2"/>
        </w:numPr>
        <w:spacing w:after="90" w:line="276"/>
      </w:pPr>
      <w:r>
        <w:rPr>
          <w:rFonts w:ascii="Arial" w:cs="Arial" w:eastAsia="Arial" w:hAnsi="Arial"/>
          <w:color w:val="262626"/>
          <w:sz w:val="21"/>
          <w:szCs w:val="21"/>
        </w:rPr>
        <w:t xml:space="preserve">Parents, carers and families</w:t>
      </w:r>
    </w:p>
    <w:p>
      <w:pPr>
        <w:pStyle w:val="ListParagraph"/>
        <w:numPr>
          <w:ilvl w:val="0"/>
          <w:numId w:val="2"/>
        </w:numPr>
        <w:spacing w:after="90" w:line="276"/>
      </w:pPr>
      <w:r>
        <w:rPr>
          <w:rFonts w:ascii="Arial" w:cs="Arial" w:eastAsia="Arial" w:hAnsi="Arial"/>
          <w:color w:val="262626"/>
          <w:sz w:val="21"/>
          <w:szCs w:val="21"/>
        </w:rPr>
        <w:t xml:space="preserve">Commissioning schools and local authorities</w:t>
      </w:r>
    </w:p>
    <w:p>
      <w:pPr>
        <w:pStyle w:val="ListParagraph"/>
        <w:numPr>
          <w:ilvl w:val="0"/>
          <w:numId w:val="2"/>
        </w:numPr>
        <w:spacing w:after="90" w:line="276"/>
      </w:pPr>
      <w:r>
        <w:rPr>
          <w:rFonts w:ascii="Arial" w:cs="Arial" w:eastAsia="Arial" w:hAnsi="Arial"/>
          <w:color w:val="262626"/>
          <w:sz w:val="21"/>
          <w:szCs w:val="21"/>
        </w:rPr>
        <w:t xml:space="preserve">Social care and health professionals</w:t>
      </w:r>
    </w:p>
    <w:p>
      <w:pPr>
        <w:pStyle w:val="ListParagraph"/>
        <w:numPr>
          <w:ilvl w:val="0"/>
          <w:numId w:val="2"/>
        </w:numPr>
        <w:spacing w:after="90" w:line="276"/>
      </w:pPr>
      <w:r>
        <w:rPr>
          <w:rFonts w:ascii="Arial" w:cs="Arial" w:eastAsia="Arial" w:hAnsi="Arial"/>
          <w:color w:val="262626"/>
          <w:sz w:val="21"/>
          <w:szCs w:val="21"/>
        </w:rPr>
        <w:t xml:space="preserve">Essex Safeguarding Children Partnership</w:t>
      </w:r>
    </w:p>
    <w:p>
      <w:pPr>
        <w:pStyle w:val="ListParagraph"/>
        <w:numPr>
          <w:ilvl w:val="0"/>
          <w:numId w:val="2"/>
        </w:numPr>
        <w:spacing w:after="90" w:line="276"/>
      </w:pPr>
      <w:r>
        <w:rPr>
          <w:rFonts w:ascii="Arial" w:cs="Arial" w:eastAsia="Arial" w:hAnsi="Arial"/>
          <w:color w:val="262626"/>
          <w:sz w:val="21"/>
          <w:szCs w:val="21"/>
        </w:rPr>
        <w:t xml:space="preserve">Prevent and Counter-Terrorism Local Profile (CTLP) partners where appropriate</w:t>
      </w:r>
    </w:p>
    <w:p>
      <w:pPr>
        <w:pStyle w:val="ListParagraph"/>
        <w:numPr>
          <w:ilvl w:val="0"/>
          <w:numId w:val="2"/>
        </w:numPr>
        <w:spacing w:after="90" w:line="276"/>
      </w:pPr>
      <w:r>
        <w:rPr>
          <w:rFonts w:ascii="Arial" w:cs="Arial" w:eastAsia="Arial" w:hAnsi="Arial"/>
          <w:color w:val="262626"/>
          <w:sz w:val="21"/>
          <w:szCs w:val="21"/>
        </w:rPr>
        <w:t xml:space="preserve">Community organisations, employers and training providers</w:t>
      </w:r>
    </w:p>
    <w:tbl>
      <w:tblPr>
        <w:tblW w:type="pct" w:w="100%"/>
        <w:tblBorders>
          <w:top w:val="single" w:color="C9A84C" w:sz="4"/>
          <w:left w:val="single" w:color="C9A84C" w:sz="4"/>
          <w:bottom w:val="single" w:color="C9A84C" w:sz="4"/>
          <w:right w:val="single" w:color="C9A84C" w:sz="4"/>
          <w:insideH w:val="none" w:color="FFFFFF" w:sz="0"/>
          <w:insideV w:val="none" w:color="FFFFFF" w:sz="0"/>
        </w:tblBorders>
      </w:tblPr>
      <w:tblGrid>
        <w:gridCol w:w="100"/>
        <w:gridCol w:w="100"/>
      </w:tblGrid>
      <w:tr>
        <w:tc>
          <w:tcPr>
            <w:tcW w:type="pct" w:w="22%"/>
            <w:shd w:fill="5B2D8E" w:val="clear"/>
            <w:tcMar>
              <w:top w:type="dxa" w:w="90"/>
              <w:left w:type="dxa" w:w="130"/>
              <w:bottom w:type="dxa" w:w="90"/>
              <w:right w:type="dxa" w:w="100"/>
            </w:tcMar>
            <w:vAlign w:val="center"/>
          </w:tcPr>
          <w:p>
            <w:r>
              <w:rPr>
                <w:rFonts w:ascii="Arial" w:cs="Arial" w:eastAsia="Arial" w:hAnsi="Arial"/>
                <w:b/>
                <w:bCs/>
                <w:color w:val="FFFFFF"/>
                <w:sz w:val="16"/>
                <w:szCs w:val="16"/>
              </w:rPr>
              <w:t xml:space="preserve">AP Standard 1.3</w:t>
            </w:r>
          </w:p>
        </w:tc>
        <w:tc>
          <w:tcPr>
            <w:tcW w:type="pct" w:w="78%"/>
            <w:shd w:fill="FBF7EC" w:val="clear"/>
            <w:tcMar>
              <w:top w:type="dxa" w:w="90"/>
              <w:left w:type="dxa" w:w="130"/>
              <w:bottom w:type="dxa" w:w="90"/>
              <w:right w:type="dxa" w:w="130"/>
            </w:tcMar>
            <w:vAlign w:val="center"/>
          </w:tcPr>
          <w:p>
            <w:r>
              <w:rPr>
                <w:rFonts w:ascii="Arial" w:cs="Arial" w:eastAsia="Arial" w:hAnsi="Arial"/>
                <w:i/>
                <w:iCs/>
                <w:color w:val="262626"/>
                <w:sz w:val="17"/>
                <w:szCs w:val="17"/>
              </w:rPr>
              <w:t xml:space="preserve">Providers should work with commissioning schools' DSLs, local authority commissioning leads, and statutory bodies when managing safeguarding concerns and referrals.</w:t>
            </w:r>
          </w:p>
        </w:tc>
      </w:tr>
    </w:tbl>
    <w:p>
      <w:pPr>
        <w:spacing w:after="120"/>
      </w:pPr>
    </w:p>
    <w:p>
      <w:pPr>
        <w:pStyle w:val="Heading1"/>
        <w:pBdr>
          <w:bottom w:val="single" w:color="C9A84C" w:sz="8" w:space="4"/>
        </w:pBdr>
        <w:spacing w:after="160" w:before="360"/>
      </w:pPr>
      <w:r>
        <w:rPr>
          <w:rFonts w:ascii="Arial" w:cs="Arial" w:eastAsia="Arial" w:hAnsi="Arial"/>
          <w:b/>
          <w:bCs/>
          <w:color w:val="5B2D8E"/>
          <w:sz w:val="30"/>
          <w:szCs w:val="30"/>
        </w:rPr>
        <w:t xml:space="preserve">10. Staff Training</w:t>
      </w:r>
    </w:p>
    <w:p>
      <w:pPr>
        <w:spacing w:after="160" w:line="276"/>
      </w:pPr>
      <w:r>
        <w:rPr>
          <w:rFonts w:ascii="Arial" w:cs="Arial" w:eastAsia="Arial" w:hAnsi="Arial"/>
          <w:b w:val="false"/>
          <w:bCs w:val="false"/>
          <w:i w:val="false"/>
          <w:iCs w:val="false"/>
          <w:color w:val="262626"/>
          <w:sz w:val="21"/>
          <w:szCs w:val="21"/>
        </w:rPr>
        <w:t xml:space="preserve">All staff receive safeguarding and Prevent Duty training as part of their induction and through ongoing professional development. Training is refreshed at least annually for all staff, with DSL training updated every two years at a minimum.</w:t>
      </w:r>
    </w:p>
    <w:p>
      <w:pPr>
        <w:spacing w:after="160" w:line="276"/>
      </w:pPr>
      <w:r>
        <w:rPr>
          <w:rFonts w:ascii="Arial" w:cs="Arial" w:eastAsia="Arial" w:hAnsi="Arial"/>
          <w:b w:val="false"/>
          <w:bCs w:val="false"/>
          <w:i w:val="false"/>
          <w:iCs w:val="false"/>
          <w:color w:val="262626"/>
          <w:sz w:val="21"/>
          <w:szCs w:val="21"/>
        </w:rPr>
        <w:t xml:space="preserve">Training covers:</w:t>
      </w:r>
    </w:p>
    <w:p>
      <w:pPr>
        <w:pStyle w:val="ListParagraph"/>
        <w:numPr>
          <w:ilvl w:val="0"/>
          <w:numId w:val="2"/>
        </w:numPr>
        <w:spacing w:after="90" w:line="276"/>
      </w:pPr>
      <w:r>
        <w:rPr>
          <w:rFonts w:ascii="Arial" w:cs="Arial" w:eastAsia="Arial" w:hAnsi="Arial"/>
          <w:color w:val="262626"/>
          <w:sz w:val="21"/>
          <w:szCs w:val="21"/>
        </w:rPr>
        <w:t xml:space="preserve">Recognising signs of radicalisation, extremism and exploitation</w:t>
      </w:r>
    </w:p>
    <w:p>
      <w:pPr>
        <w:pStyle w:val="ListParagraph"/>
        <w:numPr>
          <w:ilvl w:val="0"/>
          <w:numId w:val="2"/>
        </w:numPr>
        <w:spacing w:after="90" w:line="276"/>
      </w:pPr>
      <w:r>
        <w:rPr>
          <w:rFonts w:ascii="Arial" w:cs="Arial" w:eastAsia="Arial" w:hAnsi="Arial"/>
          <w:color w:val="262626"/>
          <w:sz w:val="21"/>
          <w:szCs w:val="21"/>
        </w:rPr>
        <w:t xml:space="preserve">Understanding vulnerability factors and contextual safeguarding</w:t>
      </w:r>
    </w:p>
    <w:p>
      <w:pPr>
        <w:pStyle w:val="ListParagraph"/>
        <w:numPr>
          <w:ilvl w:val="0"/>
          <w:numId w:val="2"/>
        </w:numPr>
        <w:spacing w:after="90" w:line="276"/>
      </w:pPr>
      <w:r>
        <w:rPr>
          <w:rFonts w:ascii="Arial" w:cs="Arial" w:eastAsia="Arial" w:hAnsi="Arial"/>
          <w:color w:val="262626"/>
          <w:sz w:val="21"/>
          <w:szCs w:val="21"/>
        </w:rPr>
        <w:t xml:space="preserve">Online safety, digital risks and emerging threats, including AI-generated content</w:t>
      </w:r>
    </w:p>
    <w:p>
      <w:pPr>
        <w:pStyle w:val="ListParagraph"/>
        <w:numPr>
          <w:ilvl w:val="0"/>
          <w:numId w:val="2"/>
        </w:numPr>
        <w:spacing w:after="90" w:line="276"/>
      </w:pPr>
      <w:r>
        <w:rPr>
          <w:rFonts w:ascii="Arial" w:cs="Arial" w:eastAsia="Arial" w:hAnsi="Arial"/>
          <w:color w:val="262626"/>
          <w:sz w:val="21"/>
          <w:szCs w:val="21"/>
        </w:rPr>
        <w:t xml:space="preserve">Reporting and recording safeguarding concerns correctly</w:t>
      </w:r>
    </w:p>
    <w:p>
      <w:pPr>
        <w:pStyle w:val="ListParagraph"/>
        <w:numPr>
          <w:ilvl w:val="0"/>
          <w:numId w:val="2"/>
        </w:numPr>
        <w:spacing w:after="90" w:line="276"/>
      </w:pPr>
      <w:r>
        <w:rPr>
          <w:rFonts w:ascii="Arial" w:cs="Arial" w:eastAsia="Arial" w:hAnsi="Arial"/>
          <w:color w:val="262626"/>
          <w:sz w:val="21"/>
          <w:szCs w:val="21"/>
        </w:rPr>
        <w:t xml:space="preserve">Promoting British Values within educational and therapeutic practice</w:t>
      </w:r>
    </w:p>
    <w:p>
      <w:pPr>
        <w:pStyle w:val="ListParagraph"/>
        <w:numPr>
          <w:ilvl w:val="0"/>
          <w:numId w:val="2"/>
        </w:numPr>
        <w:spacing w:after="90" w:line="276"/>
      </w:pPr>
      <w:r>
        <w:rPr>
          <w:rFonts w:ascii="Arial" w:cs="Arial" w:eastAsia="Arial" w:hAnsi="Arial"/>
          <w:color w:val="262626"/>
          <w:sz w:val="21"/>
          <w:szCs w:val="21"/>
        </w:rPr>
        <w:t xml:space="preserve">Familiarity with Educate Against Hate, ASDAN and PSHE Association resources</w:t>
      </w:r>
    </w:p>
    <w:p>
      <w:pPr>
        <w:pStyle w:val="ListParagraph"/>
        <w:numPr>
          <w:ilvl w:val="0"/>
          <w:numId w:val="2"/>
        </w:numPr>
        <w:spacing w:after="90" w:line="276"/>
      </w:pPr>
      <w:r>
        <w:rPr>
          <w:rFonts w:ascii="Arial" w:cs="Arial" w:eastAsia="Arial" w:hAnsi="Arial"/>
          <w:color w:val="262626"/>
          <w:sz w:val="21"/>
          <w:szCs w:val="21"/>
        </w:rPr>
        <w:t xml:space="preserve">Understanding current safeguarding risks and emerging national themes</w:t>
      </w:r>
    </w:p>
    <w:tbl>
      <w:tblPr>
        <w:tblW w:type="pct" w:w="100%"/>
        <w:tblBorders>
          <w:top w:val="single" w:color="C9A84C" w:sz="4"/>
          <w:left w:val="single" w:color="C9A84C" w:sz="4"/>
          <w:bottom w:val="single" w:color="C9A84C" w:sz="4"/>
          <w:right w:val="single" w:color="C9A84C" w:sz="4"/>
          <w:insideH w:val="none" w:color="FFFFFF" w:sz="0"/>
          <w:insideV w:val="none" w:color="FFFFFF" w:sz="0"/>
        </w:tblBorders>
      </w:tblPr>
      <w:tblGrid>
        <w:gridCol w:w="100"/>
        <w:gridCol w:w="100"/>
      </w:tblGrid>
      <w:tr>
        <w:tc>
          <w:tcPr>
            <w:tcW w:type="pct" w:w="22%"/>
            <w:shd w:fill="5B2D8E" w:val="clear"/>
            <w:tcMar>
              <w:top w:type="dxa" w:w="90"/>
              <w:left w:type="dxa" w:w="130"/>
              <w:bottom w:type="dxa" w:w="90"/>
              <w:right w:type="dxa" w:w="100"/>
            </w:tcMar>
            <w:vAlign w:val="center"/>
          </w:tcPr>
          <w:p>
            <w:r>
              <w:rPr>
                <w:rFonts w:ascii="Arial" w:cs="Arial" w:eastAsia="Arial" w:hAnsi="Arial"/>
                <w:b/>
                <w:bCs/>
                <w:color w:val="FFFFFF"/>
                <w:sz w:val="16"/>
                <w:szCs w:val="16"/>
              </w:rPr>
              <w:t xml:space="preserve">AP Standard 1.4</w:t>
            </w:r>
          </w:p>
        </w:tc>
        <w:tc>
          <w:tcPr>
            <w:tcW w:type="pct" w:w="78%"/>
            <w:shd w:fill="FBF7EC" w:val="clear"/>
            <w:tcMar>
              <w:top w:type="dxa" w:w="90"/>
              <w:left w:type="dxa" w:w="130"/>
              <w:bottom w:type="dxa" w:w="90"/>
              <w:right w:type="dxa" w:w="130"/>
            </w:tcMar>
            <w:vAlign w:val="center"/>
          </w:tcPr>
          <w:p>
            <w:r>
              <w:rPr>
                <w:rFonts w:ascii="Arial" w:cs="Arial" w:eastAsia="Arial" w:hAnsi="Arial"/>
                <w:i/>
                <w:iCs/>
                <w:color w:val="262626"/>
                <w:sz w:val="17"/>
                <w:szCs w:val="17"/>
              </w:rPr>
              <w:t xml:space="preserve">All permanent staff must undertake child protection training on an annual basis. All staff must know how and when to engage the safeguarding lead and how to follow the referrals process.</w:t>
            </w:r>
          </w:p>
        </w:tc>
      </w:tr>
    </w:tbl>
    <w:p>
      <w:pPr>
        <w:spacing w:after="120"/>
      </w:pPr>
    </w:p>
    <w:p>
      <w:pPr>
        <w:pStyle w:val="Heading1"/>
        <w:pBdr>
          <w:bottom w:val="single" w:color="C9A84C" w:sz="8" w:space="4"/>
        </w:pBdr>
        <w:spacing w:after="160" w:before="360"/>
      </w:pPr>
      <w:r>
        <w:rPr>
          <w:rFonts w:ascii="Arial" w:cs="Arial" w:eastAsia="Arial" w:hAnsi="Arial"/>
          <w:b/>
          <w:bCs/>
          <w:color w:val="5B2D8E"/>
          <w:sz w:val="30"/>
          <w:szCs w:val="30"/>
        </w:rPr>
        <w:t xml:space="preserve">11. Monitoring and Review</w:t>
      </w:r>
    </w:p>
    <w:p>
      <w:pPr>
        <w:spacing w:after="160" w:line="276"/>
      </w:pPr>
      <w:r>
        <w:rPr>
          <w:rFonts w:ascii="Arial" w:cs="Arial" w:eastAsia="Arial" w:hAnsi="Arial"/>
          <w:b w:val="false"/>
          <w:bCs w:val="false"/>
          <w:i w:val="false"/>
          <w:iCs w:val="false"/>
          <w:color w:val="262626"/>
          <w:sz w:val="21"/>
          <w:szCs w:val="21"/>
        </w:rPr>
        <w:t xml:space="preserve">This statement will be reviewed annually by the CEO and DSLs, or sooner in response to legislative changes, updated guidance, safeguarding developments or emerging risks.</w:t>
      </w:r>
    </w:p>
    <w:p>
      <w:pPr>
        <w:spacing w:after="160" w:line="276"/>
      </w:pPr>
      <w:r>
        <w:rPr>
          <w:rFonts w:ascii="Arial" w:cs="Arial" w:eastAsia="Arial" w:hAnsi="Arial"/>
          <w:b w:val="false"/>
          <w:bCs w:val="false"/>
          <w:i w:val="false"/>
          <w:iCs w:val="false"/>
          <w:color w:val="262626"/>
          <w:sz w:val="21"/>
          <w:szCs w:val="21"/>
        </w:rPr>
        <w:t xml:space="preserve">The effectiveness of our approach is monitored through:</w:t>
      </w:r>
    </w:p>
    <w:p>
      <w:pPr>
        <w:pStyle w:val="ListParagraph"/>
        <w:numPr>
          <w:ilvl w:val="0"/>
          <w:numId w:val="2"/>
        </w:numPr>
        <w:spacing w:after="90" w:line="276"/>
      </w:pPr>
      <w:r>
        <w:rPr>
          <w:rFonts w:ascii="Arial" w:cs="Arial" w:eastAsia="Arial" w:hAnsi="Arial"/>
          <w:color w:val="262626"/>
          <w:sz w:val="21"/>
          <w:szCs w:val="21"/>
        </w:rPr>
        <w:t xml:space="preserve">Safeguarding oversight and DSL records</w:t>
      </w:r>
    </w:p>
    <w:p>
      <w:pPr>
        <w:pStyle w:val="ListParagraph"/>
        <w:numPr>
          <w:ilvl w:val="0"/>
          <w:numId w:val="2"/>
        </w:numPr>
        <w:spacing w:after="90" w:line="276"/>
      </w:pPr>
      <w:r>
        <w:rPr>
          <w:rFonts w:ascii="Arial" w:cs="Arial" w:eastAsia="Arial" w:hAnsi="Arial"/>
          <w:color w:val="262626"/>
          <w:sz w:val="21"/>
          <w:szCs w:val="21"/>
        </w:rPr>
        <w:t xml:space="preserve">Curriculum review and PSHE planning audits</w:t>
      </w:r>
    </w:p>
    <w:p>
      <w:pPr>
        <w:pStyle w:val="ListParagraph"/>
        <w:numPr>
          <w:ilvl w:val="0"/>
          <w:numId w:val="2"/>
        </w:numPr>
        <w:spacing w:after="90" w:line="276"/>
      </w:pPr>
      <w:r>
        <w:rPr>
          <w:rFonts w:ascii="Arial" w:cs="Arial" w:eastAsia="Arial" w:hAnsi="Arial"/>
          <w:color w:val="262626"/>
          <w:sz w:val="21"/>
          <w:szCs w:val="21"/>
        </w:rPr>
        <w:t xml:space="preserve">Learner voice feedback and participation activities</w:t>
      </w:r>
    </w:p>
    <w:p>
      <w:pPr>
        <w:pStyle w:val="ListParagraph"/>
        <w:numPr>
          <w:ilvl w:val="0"/>
          <w:numId w:val="2"/>
        </w:numPr>
        <w:spacing w:after="90" w:line="276"/>
      </w:pPr>
      <w:r>
        <w:rPr>
          <w:rFonts w:ascii="Arial" w:cs="Arial" w:eastAsia="Arial" w:hAnsi="Arial"/>
          <w:color w:val="262626"/>
          <w:sz w:val="21"/>
          <w:szCs w:val="21"/>
        </w:rPr>
        <w:t xml:space="preserve">Staff training records and CPD logs</w:t>
      </w:r>
    </w:p>
    <w:p>
      <w:pPr>
        <w:pStyle w:val="ListParagraph"/>
        <w:numPr>
          <w:ilvl w:val="0"/>
          <w:numId w:val="2"/>
        </w:numPr>
        <w:spacing w:after="90" w:line="276"/>
      </w:pPr>
      <w:r>
        <w:rPr>
          <w:rFonts w:ascii="Arial" w:cs="Arial" w:eastAsia="Arial" w:hAnsi="Arial"/>
          <w:color w:val="262626"/>
          <w:sz w:val="21"/>
          <w:szCs w:val="21"/>
        </w:rPr>
        <w:t xml:space="preserve">Incident and concern monitoring</w:t>
      </w:r>
    </w:p>
    <w:p>
      <w:pPr>
        <w:pStyle w:val="ListParagraph"/>
        <w:numPr>
          <w:ilvl w:val="0"/>
          <w:numId w:val="2"/>
        </w:numPr>
        <w:spacing w:after="90" w:line="276"/>
      </w:pPr>
      <w:r>
        <w:rPr>
          <w:rFonts w:ascii="Arial" w:cs="Arial" w:eastAsia="Arial" w:hAnsi="Arial"/>
          <w:color w:val="262626"/>
          <w:sz w:val="21"/>
          <w:szCs w:val="21"/>
        </w:rPr>
        <w:t xml:space="preserve">Quality assurance activities and self-evaluation against the DfE AP Voluntary National Standards (August 2025)</w:t>
      </w:r>
    </w:p>
    <w:tbl>
      <w:tblPr>
        <w:tblW w:type="pct" w:w="100%"/>
        <w:tblBorders>
          <w:top w:val="single" w:color="C9A84C" w:sz="4"/>
          <w:left w:val="single" w:color="C9A84C" w:sz="4"/>
          <w:bottom w:val="single" w:color="C9A84C" w:sz="4"/>
          <w:right w:val="single" w:color="C9A84C" w:sz="4"/>
          <w:insideH w:val="none" w:color="FFFFFF" w:sz="0"/>
          <w:insideV w:val="none" w:color="FFFFFF" w:sz="0"/>
        </w:tblBorders>
      </w:tblPr>
      <w:tblGrid>
        <w:gridCol w:w="100"/>
        <w:gridCol w:w="100"/>
      </w:tblGrid>
      <w:tr>
        <w:tc>
          <w:tcPr>
            <w:tcW w:type="pct" w:w="22%"/>
            <w:shd w:fill="5B2D8E" w:val="clear"/>
            <w:tcMar>
              <w:top w:type="dxa" w:w="90"/>
              <w:left w:type="dxa" w:w="130"/>
              <w:bottom w:type="dxa" w:w="90"/>
              <w:right w:type="dxa" w:w="100"/>
            </w:tcMar>
            <w:vAlign w:val="center"/>
          </w:tcPr>
          <w:p>
            <w:r>
              <w:rPr>
                <w:rFonts w:ascii="Arial" w:cs="Arial" w:eastAsia="Arial" w:hAnsi="Arial"/>
                <w:b/>
                <w:bCs/>
                <w:color w:val="FFFFFF"/>
                <w:sz w:val="16"/>
                <w:szCs w:val="16"/>
              </w:rPr>
              <w:t xml:space="preserve">AP Standard Part 4</w:t>
            </w:r>
          </w:p>
        </w:tc>
        <w:tc>
          <w:tcPr>
            <w:tcW w:type="pct" w:w="78%"/>
            <w:shd w:fill="FBF7EC" w:val="clear"/>
            <w:tcMar>
              <w:top w:type="dxa" w:w="90"/>
              <w:left w:type="dxa" w:w="130"/>
              <w:bottom w:type="dxa" w:w="90"/>
              <w:right w:type="dxa" w:w="130"/>
            </w:tcMar>
            <w:vAlign w:val="center"/>
          </w:tcPr>
          <w:p>
            <w:r>
              <w:rPr>
                <w:rFonts w:ascii="Arial" w:cs="Arial" w:eastAsia="Arial" w:hAnsi="Arial"/>
                <w:i/>
                <w:iCs/>
                <w:color w:val="262626"/>
                <w:sz w:val="17"/>
                <w:szCs w:val="17"/>
              </w:rPr>
              <w:t xml:space="preserve">Providers should self-evaluate their provision against the voluntary national standards and prepare documentation for quality assurance visits by local authorities and commissioners.</w:t>
            </w:r>
          </w:p>
        </w:tc>
      </w:tr>
    </w:tbl>
    <w:p>
      <w:pPr>
        <w:spacing w:after="120"/>
      </w:pPr>
    </w:p>
    <w:p>
      <w:pPr>
        <w:pStyle w:val="Heading1"/>
        <w:pBdr>
          <w:bottom w:val="single" w:color="C9A84C" w:sz="8" w:space="4"/>
        </w:pBdr>
        <w:spacing w:after="160" w:before="360"/>
      </w:pPr>
      <w:r>
        <w:rPr>
          <w:rFonts w:ascii="Arial" w:cs="Arial" w:eastAsia="Arial" w:hAnsi="Arial"/>
          <w:b/>
          <w:bCs/>
          <w:color w:val="5B2D8E"/>
          <w:sz w:val="30"/>
          <w:szCs w:val="30"/>
        </w:rPr>
        <w:t xml:space="preserve">12. Our Commitment</w:t>
      </w:r>
    </w:p>
    <w:p>
      <w:pPr>
        <w:spacing w:after="160" w:line="276"/>
      </w:pPr>
      <w:r>
        <w:rPr>
          <w:rFonts w:ascii="Arial" w:cs="Arial" w:eastAsia="Arial" w:hAnsi="Arial"/>
          <w:b w:val="false"/>
          <w:bCs w:val="false"/>
          <w:i w:val="false"/>
          <w:iCs w:val="false"/>
          <w:color w:val="262626"/>
          <w:sz w:val="21"/>
          <w:szCs w:val="21"/>
        </w:rPr>
        <w:t xml:space="preserve">Futures-Essex is committed to creating a safe, inclusive and respectful environment where all learners can thrive. We will continue to promote British Values, challenge discrimination and prejudice, safeguard learners from radicalisation, and support young people to become confident, resilient and responsible members of society.</w:t>
      </w:r>
    </w:p>
    <w:p>
      <w:pPr>
        <w:spacing w:after="160" w:line="276"/>
      </w:pPr>
      <w:r>
        <w:rPr>
          <w:rFonts w:ascii="Arial" w:cs="Arial" w:eastAsia="Arial" w:hAnsi="Arial"/>
          <w:b w:val="false"/>
          <w:bCs w:val="false"/>
          <w:i w:val="false"/>
          <w:iCs w:val="false"/>
          <w:color w:val="262626"/>
          <w:sz w:val="21"/>
          <w:szCs w:val="21"/>
        </w:rPr>
        <w:t xml:space="preserve">We are committed to meeting and exceeding the expectations set out in the DfE Non-School Alternative Provision: Voluntary National Standards (August 2025), and will continue to work collaboratively with local authorities, commissioners and partner agencies to ensure our provision is safe, high-quality and effective.</w:t>
      </w:r>
    </w:p>
    <w:p>
      <w:pPr>
        <w:pStyle w:val="Heading1"/>
        <w:pBdr>
          <w:bottom w:val="single" w:color="C9A84C" w:sz="8" w:space="4"/>
        </w:pBdr>
        <w:spacing w:after="160" w:before="360"/>
      </w:pPr>
      <w:r>
        <w:rPr>
          <w:rFonts w:ascii="Arial" w:cs="Arial" w:eastAsia="Arial" w:hAnsi="Arial"/>
          <w:b/>
          <w:bCs/>
          <w:color w:val="5B2D8E"/>
          <w:sz w:val="30"/>
          <w:szCs w:val="30"/>
        </w:rPr>
        <w:t xml:space="preserve">13. This Statement Should Be Read Alongside</w:t>
      </w:r>
    </w:p>
    <w:p>
      <w:pPr>
        <w:pStyle w:val="ListParagraph"/>
        <w:numPr>
          <w:ilvl w:val="0"/>
          <w:numId w:val="2"/>
        </w:numPr>
        <w:spacing w:after="90" w:line="276"/>
      </w:pPr>
      <w:r>
        <w:rPr>
          <w:rFonts w:ascii="Arial" w:cs="Arial" w:eastAsia="Arial" w:hAnsi="Arial"/>
          <w:color w:val="262626"/>
          <w:sz w:val="21"/>
          <w:szCs w:val="21"/>
        </w:rPr>
        <w:t xml:space="preserve">Child Protection and Safeguarding Policy</w:t>
      </w:r>
    </w:p>
    <w:p>
      <w:pPr>
        <w:pStyle w:val="ListParagraph"/>
        <w:numPr>
          <w:ilvl w:val="0"/>
          <w:numId w:val="2"/>
        </w:numPr>
        <w:spacing w:after="90" w:line="276"/>
      </w:pPr>
      <w:r>
        <w:rPr>
          <w:rFonts w:ascii="Arial" w:cs="Arial" w:eastAsia="Arial" w:hAnsi="Arial"/>
          <w:color w:val="262626"/>
          <w:sz w:val="21"/>
          <w:szCs w:val="21"/>
        </w:rPr>
        <w:t xml:space="preserve">Behaviour in Context Policy</w:t>
      </w:r>
    </w:p>
    <w:p>
      <w:pPr>
        <w:pStyle w:val="ListParagraph"/>
        <w:numPr>
          <w:ilvl w:val="0"/>
          <w:numId w:val="2"/>
        </w:numPr>
        <w:spacing w:after="90" w:line="276"/>
      </w:pPr>
      <w:r>
        <w:rPr>
          <w:rFonts w:ascii="Arial" w:cs="Arial" w:eastAsia="Arial" w:hAnsi="Arial"/>
          <w:color w:val="262626"/>
          <w:sz w:val="21"/>
          <w:szCs w:val="21"/>
        </w:rPr>
        <w:t xml:space="preserve">Online Safety Policy</w:t>
      </w:r>
    </w:p>
    <w:p>
      <w:pPr>
        <w:pStyle w:val="ListParagraph"/>
        <w:numPr>
          <w:ilvl w:val="0"/>
          <w:numId w:val="2"/>
        </w:numPr>
        <w:spacing w:after="90" w:line="276"/>
      </w:pPr>
      <w:r>
        <w:rPr>
          <w:rFonts w:ascii="Arial" w:cs="Arial" w:eastAsia="Arial" w:hAnsi="Arial"/>
          <w:color w:val="262626"/>
          <w:sz w:val="21"/>
          <w:szCs w:val="21"/>
        </w:rPr>
        <w:t xml:space="preserve">Equality, Diversity and Inclusion Policy</w:t>
      </w:r>
    </w:p>
    <w:p>
      <w:pPr>
        <w:pStyle w:val="ListParagraph"/>
        <w:numPr>
          <w:ilvl w:val="0"/>
          <w:numId w:val="2"/>
        </w:numPr>
        <w:spacing w:after="90" w:line="276"/>
      </w:pPr>
      <w:r>
        <w:rPr>
          <w:rFonts w:ascii="Arial" w:cs="Arial" w:eastAsia="Arial" w:hAnsi="Arial"/>
          <w:color w:val="262626"/>
          <w:sz w:val="21"/>
          <w:szCs w:val="21"/>
        </w:rPr>
        <w:t xml:space="preserve">Staff Code of Conduct</w:t>
      </w:r>
    </w:p>
    <w:p>
      <w:pPr>
        <w:pStyle w:val="ListParagraph"/>
        <w:numPr>
          <w:ilvl w:val="0"/>
          <w:numId w:val="2"/>
        </w:numPr>
        <w:spacing w:after="90" w:line="276"/>
      </w:pPr>
      <w:r>
        <w:rPr>
          <w:rFonts w:ascii="Arial" w:cs="Arial" w:eastAsia="Arial" w:hAnsi="Arial"/>
          <w:color w:val="262626"/>
          <w:sz w:val="21"/>
          <w:szCs w:val="21"/>
        </w:rPr>
        <w:t xml:space="preserve">Prevent Risk Assessment</w:t>
      </w:r>
    </w:p>
    <w:p>
      <w:pPr>
        <w:pStyle w:val="ListParagraph"/>
        <w:numPr>
          <w:ilvl w:val="0"/>
          <w:numId w:val="2"/>
        </w:numPr>
        <w:spacing w:after="90" w:line="276"/>
      </w:pPr>
      <w:r>
        <w:rPr>
          <w:rFonts w:ascii="Arial" w:cs="Arial" w:eastAsia="Arial" w:hAnsi="Arial"/>
          <w:color w:val="262626"/>
          <w:sz w:val="21"/>
          <w:szCs w:val="21"/>
        </w:rPr>
        <w:t xml:space="preserve">Safer Recruitment Policy</w:t>
      </w:r>
    </w:p>
    <w:p>
      <w:pPr>
        <w:pStyle w:val="ListParagraph"/>
        <w:numPr>
          <w:ilvl w:val="0"/>
          <w:numId w:val="2"/>
        </w:numPr>
        <w:spacing w:after="90" w:line="276"/>
      </w:pPr>
      <w:r>
        <w:rPr>
          <w:rFonts w:ascii="Arial" w:cs="Arial" w:eastAsia="Arial" w:hAnsi="Arial"/>
          <w:color w:val="262626"/>
          <w:sz w:val="21"/>
          <w:szCs w:val="21"/>
        </w:rPr>
        <w:t xml:space="preserve">Whistleblowing Policy</w:t>
      </w:r>
    </w:p>
    <w:p>
      <w:r>
        <w:br w:type="page"/>
      </w:r>
    </w:p>
    <w:p>
      <w:pPr>
        <w:pBdr>
          <w:bottom w:val="single" w:color="C9A84C" w:sz="12" w:space="4"/>
        </w:pBdr>
        <w:spacing w:after="40"/>
      </w:pPr>
      <w:r>
        <w:rPr>
          <w:rFonts w:ascii="Arial" w:cs="Arial" w:eastAsia="Arial" w:hAnsi="Arial"/>
          <w:b/>
          <w:bCs/>
          <w:color w:val="5B2D8E"/>
          <w:sz w:val="30"/>
          <w:szCs w:val="30"/>
        </w:rPr>
        <w:t xml:space="preserve">Staff Quick Reference: British Values &amp; Prevent Duty</w:t>
      </w:r>
    </w:p>
    <w:p>
      <w:pPr>
        <w:spacing w:after="200" w:before="100"/>
      </w:pPr>
      <w:r>
        <w:rPr>
          <w:rFonts w:ascii="Arial" w:cs="Arial" w:eastAsia="Arial" w:hAnsi="Arial"/>
          <w:i/>
          <w:iCs/>
          <w:color w:val="262626"/>
          <w:sz w:val="18"/>
          <w:szCs w:val="18"/>
        </w:rPr>
        <w:t xml:space="preserve">A one-page summary for staff. This does not replace the full statement — see the sections above for detail.</w:t>
      </w:r>
    </w:p>
    <w:tbl>
      <w:tblPr>
        <w:tblW w:type="pct" w:w="100%"/>
        <w:tblBorders>
          <w:top w:val="single" w:color="C9A84C" w:sz="4"/>
          <w:left w:val="single" w:color="C9A84C" w:sz="4"/>
          <w:bottom w:val="single" w:color="C9A84C" w:sz="4"/>
          <w:right w:val="single" w:color="C9A84C" w:sz="4"/>
          <w:insideH w:val="single" w:color="C9A84C" w:sz="4"/>
          <w:insideV w:val="single" w:color="C9A84C" w:sz="4"/>
        </w:tblBorders>
      </w:tblPr>
      <w:tblGrid>
        <w:gridCol w:w="100"/>
        <w:gridCol w:w="100"/>
      </w:tblGrid>
      <w:tr>
        <w:tc>
          <w:tcPr>
            <w:tcW w:type="pct" w:w="50%"/>
            <w:tcMar>
              <w:top w:type="dxa" w:w="120"/>
              <w:left w:type="dxa" w:w="180"/>
              <w:bottom w:type="dxa" w:w="120"/>
              <w:right w:type="dxa" w:w="180"/>
            </w:tcMar>
          </w:tcPr>
          <w:p>
            <w:pPr>
              <w:spacing w:after="60" w:before="140"/>
            </w:pPr>
            <w:r>
              <w:rPr>
                <w:rFonts w:ascii="Arial" w:cs="Arial" w:eastAsia="Arial" w:hAnsi="Arial"/>
                <w:b/>
                <w:bCs/>
                <w:color w:val="5B2D8E"/>
                <w:sz w:val="19"/>
                <w:szCs w:val="19"/>
              </w:rPr>
              <w:t xml:space="preserve">The Five British Values</w:t>
            </w:r>
          </w:p>
          <w:p>
            <w:pPr>
              <w:pStyle w:val="ListParagraph"/>
              <w:numPr>
                <w:ilvl w:val="0"/>
                <w:numId w:val="3"/>
              </w:numPr>
              <w:spacing w:after="40" w:line="240"/>
            </w:pPr>
            <w:r>
              <w:rPr>
                <w:rFonts w:ascii="Arial" w:cs="Arial" w:eastAsia="Arial" w:hAnsi="Arial"/>
                <w:color w:val="262626"/>
                <w:sz w:val="16"/>
                <w:szCs w:val="16"/>
              </w:rPr>
              <w:t xml:space="preserve">Democracy — every learner has a voice.</w:t>
            </w:r>
          </w:p>
          <w:p>
            <w:pPr>
              <w:pStyle w:val="ListParagraph"/>
              <w:numPr>
                <w:ilvl w:val="0"/>
                <w:numId w:val="3"/>
              </w:numPr>
              <w:spacing w:after="40" w:line="240"/>
            </w:pPr>
            <w:r>
              <w:rPr>
                <w:rFonts w:ascii="Arial" w:cs="Arial" w:eastAsia="Arial" w:hAnsi="Arial"/>
                <w:color w:val="262626"/>
                <w:sz w:val="16"/>
                <w:szCs w:val="16"/>
              </w:rPr>
              <w:t xml:space="preserve">Rule of Law — rules, boundaries, understanding consequences.</w:t>
            </w:r>
          </w:p>
          <w:p>
            <w:pPr>
              <w:pStyle w:val="ListParagraph"/>
              <w:numPr>
                <w:ilvl w:val="0"/>
                <w:numId w:val="3"/>
              </w:numPr>
              <w:spacing w:after="40" w:line="240"/>
            </w:pPr>
            <w:r>
              <w:rPr>
                <w:rFonts w:ascii="Arial" w:cs="Arial" w:eastAsia="Arial" w:hAnsi="Arial"/>
                <w:color w:val="262626"/>
                <w:sz w:val="16"/>
                <w:szCs w:val="16"/>
              </w:rPr>
              <w:t xml:space="preserve">Individual Liberty — informed choices, balanced with others' rights.</w:t>
            </w:r>
          </w:p>
          <w:p>
            <w:pPr>
              <w:pStyle w:val="ListParagraph"/>
              <w:numPr>
                <w:ilvl w:val="0"/>
                <w:numId w:val="3"/>
              </w:numPr>
              <w:spacing w:after="40" w:line="240"/>
            </w:pPr>
            <w:r>
              <w:rPr>
                <w:rFonts w:ascii="Arial" w:cs="Arial" w:eastAsia="Arial" w:hAnsi="Arial"/>
                <w:color w:val="262626"/>
                <w:sz w:val="16"/>
                <w:szCs w:val="16"/>
              </w:rPr>
              <w:t xml:space="preserve">Mutual Respect — kindness and dignity in every interaction.</w:t>
            </w:r>
          </w:p>
          <w:p>
            <w:pPr>
              <w:pStyle w:val="ListParagraph"/>
              <w:numPr>
                <w:ilvl w:val="0"/>
                <w:numId w:val="3"/>
              </w:numPr>
              <w:spacing w:after="40" w:line="240"/>
            </w:pPr>
            <w:r>
              <w:rPr>
                <w:rFonts w:ascii="Arial" w:cs="Arial" w:eastAsia="Arial" w:hAnsi="Arial"/>
                <w:color w:val="262626"/>
                <w:sz w:val="16"/>
                <w:szCs w:val="16"/>
              </w:rPr>
              <w:t xml:space="preserve">Tolerance — celebrating different faiths, beliefs and cultures.</w:t>
            </w:r>
          </w:p>
        </w:tc>
        <w:tc>
          <w:tcPr>
            <w:tcW w:type="pct" w:w="50%"/>
            <w:tcMar>
              <w:top w:type="dxa" w:w="120"/>
              <w:left w:type="dxa" w:w="180"/>
              <w:bottom w:type="dxa" w:w="120"/>
              <w:right w:type="dxa" w:w="180"/>
            </w:tcMar>
          </w:tcPr>
          <w:p>
            <w:pPr>
              <w:spacing w:after="60" w:before="140"/>
            </w:pPr>
            <w:r>
              <w:rPr>
                <w:rFonts w:ascii="Arial" w:cs="Arial" w:eastAsia="Arial" w:hAnsi="Arial"/>
                <w:b/>
                <w:bCs/>
                <w:color w:val="5B2D8E"/>
                <w:sz w:val="19"/>
                <w:szCs w:val="19"/>
              </w:rPr>
              <w:t xml:space="preserve">Prevent — Treat as Safeguarding, Not Behaviour</w:t>
            </w:r>
          </w:p>
          <w:p>
            <w:pPr>
              <w:pStyle w:val="ListParagraph"/>
              <w:numPr>
                <w:ilvl w:val="0"/>
                <w:numId w:val="3"/>
              </w:numPr>
              <w:spacing w:after="40" w:line="240"/>
            </w:pPr>
            <w:r>
              <w:rPr>
                <w:rFonts w:ascii="Arial" w:cs="Arial" w:eastAsia="Arial" w:hAnsi="Arial"/>
                <w:color w:val="262626"/>
                <w:sz w:val="16"/>
                <w:szCs w:val="16"/>
              </w:rPr>
              <w:t xml:space="preserve">Radicalisation is a safeguarding concern, never a disciplinary matter.</w:t>
            </w:r>
          </w:p>
          <w:p>
            <w:pPr>
              <w:pStyle w:val="ListParagraph"/>
              <w:numPr>
                <w:ilvl w:val="0"/>
                <w:numId w:val="3"/>
              </w:numPr>
              <w:spacing w:after="40" w:line="240"/>
            </w:pPr>
            <w:r>
              <w:rPr>
                <w:rFonts w:ascii="Arial" w:cs="Arial" w:eastAsia="Arial" w:hAnsi="Arial"/>
                <w:color w:val="262626"/>
                <w:sz w:val="16"/>
                <w:szCs w:val="16"/>
              </w:rPr>
              <w:t xml:space="preserve">Watch for social isolation, distress, low self-esteem, trauma, unmet identity/belonging needs — not just one ‘type’ of young person.</w:t>
            </w:r>
          </w:p>
          <w:p>
            <w:pPr>
              <w:pStyle w:val="ListParagraph"/>
              <w:numPr>
                <w:ilvl w:val="0"/>
                <w:numId w:val="3"/>
              </w:numPr>
              <w:spacing w:after="40" w:line="240"/>
            </w:pPr>
            <w:r>
              <w:rPr>
                <w:rFonts w:ascii="Arial" w:cs="Arial" w:eastAsia="Arial" w:hAnsi="Arial"/>
                <w:color w:val="262626"/>
                <w:sz w:val="16"/>
                <w:szCs w:val="16"/>
              </w:rPr>
              <w:t xml:space="preserve">Threat picture is broad: Islamist, extreme right-wing, incel/misogyny-linked, and mixed or unclear ideologies.</w:t>
            </w:r>
          </w:p>
        </w:tc>
      </w:tr>
      <w:tr>
        <w:tc>
          <w:tcPr>
            <w:tcW w:type="pct" w:w="100%"/>
            <w:tcMar>
              <w:top w:type="dxa" w:w="120"/>
              <w:left w:type="dxa" w:w="180"/>
              <w:bottom w:type="dxa" w:w="120"/>
              <w:right w:type="dxa" w:w="180"/>
            </w:tcMar>
          </w:tcPr>
          <w:p>
            <w:pPr>
              <w:spacing w:after="60" w:before="140"/>
            </w:pPr>
            <w:r>
              <w:rPr>
                <w:rFonts w:ascii="Arial" w:cs="Arial" w:eastAsia="Arial" w:hAnsi="Arial"/>
                <w:b/>
                <w:bCs/>
                <w:color w:val="5B2D8E"/>
                <w:sz w:val="19"/>
                <w:szCs w:val="19"/>
              </w:rPr>
              <w:t xml:space="preserve">Spot a Concern? What to Do</w:t>
            </w:r>
          </w:p>
          <w:p>
            <w:pPr>
              <w:pStyle w:val="ListParagraph"/>
              <w:numPr>
                <w:ilvl w:val="0"/>
                <w:numId w:val="3"/>
              </w:numPr>
              <w:spacing w:after="40" w:line="240"/>
            </w:pPr>
            <w:r>
              <w:rPr>
                <w:rFonts w:ascii="Arial" w:cs="Arial" w:eastAsia="Arial" w:hAnsi="Arial"/>
                <w:color w:val="262626"/>
                <w:sz w:val="16"/>
                <w:szCs w:val="16"/>
              </w:rPr>
              <w:t xml:space="preserve">Speak to a DSL — Lauren Collin, Pippa Edlin or Anna Jacobs — straight away.</w:t>
            </w:r>
          </w:p>
          <w:p>
            <w:pPr>
              <w:pStyle w:val="ListParagraph"/>
              <w:numPr>
                <w:ilvl w:val="0"/>
                <w:numId w:val="3"/>
              </w:numPr>
              <w:spacing w:after="40" w:line="240"/>
            </w:pPr>
            <w:r>
              <w:rPr>
                <w:rFonts w:ascii="Arial" w:cs="Arial" w:eastAsia="Arial" w:hAnsi="Arial"/>
                <w:color w:val="262626"/>
                <w:sz w:val="16"/>
                <w:szCs w:val="16"/>
              </w:rPr>
              <w:t xml:space="preserve">Record what you saw or heard; concerns can be raised anonymously.</w:t>
            </w:r>
          </w:p>
          <w:p>
            <w:pPr>
              <w:pStyle w:val="ListParagraph"/>
              <w:numPr>
                <w:ilvl w:val="0"/>
                <w:numId w:val="3"/>
              </w:numPr>
              <w:spacing w:after="40" w:line="240"/>
            </w:pPr>
            <w:r>
              <w:rPr>
                <w:rFonts w:ascii="Arial" w:cs="Arial" w:eastAsia="Arial" w:hAnsi="Arial"/>
                <w:color w:val="262626"/>
                <w:sz w:val="16"/>
                <w:szCs w:val="16"/>
              </w:rPr>
              <w:t xml:space="preserve">Never investigate or challenge alone — this is a safeguarding referral, not a conversation to have solo.</w:t>
            </w:r>
          </w:p>
          <w:p>
            <w:pPr>
              <w:pStyle w:val="ListParagraph"/>
              <w:numPr>
                <w:ilvl w:val="0"/>
                <w:numId w:val="3"/>
              </w:numPr>
              <w:spacing w:after="40" w:line="240"/>
            </w:pPr>
            <w:r>
              <w:rPr>
                <w:rFonts w:ascii="Arial" w:cs="Arial" w:eastAsia="Arial" w:hAnsi="Arial"/>
                <w:color w:val="262626"/>
                <w:sz w:val="16"/>
                <w:szCs w:val="16"/>
              </w:rPr>
              <w:t xml:space="preserve">Include online activity — AI-generated content, deepfakes and synthetic media are now part of the picture, alongside social media and gaming.</w:t>
            </w:r>
          </w:p>
        </w:tc>
      </w:tr>
      <w:tr>
        <w:tc>
          <w:tcPr>
            <w:tcW w:type="pct" w:w="100%"/>
            <w:tcMar>
              <w:top w:type="dxa" w:w="120"/>
              <w:left w:type="dxa" w:w="180"/>
              <w:bottom w:type="dxa" w:w="120"/>
              <w:right w:type="dxa" w:w="180"/>
            </w:tcMar>
          </w:tcPr>
          <w:p>
            <w:pPr>
              <w:spacing w:after="60" w:before="140"/>
            </w:pPr>
            <w:r>
              <w:rPr>
                <w:rFonts w:ascii="Arial" w:cs="Arial" w:eastAsia="Arial" w:hAnsi="Arial"/>
                <w:b/>
                <w:bCs/>
                <w:color w:val="5B2D8E"/>
                <w:sz w:val="19"/>
                <w:szCs w:val="19"/>
              </w:rPr>
              <w:t xml:space="preserve">Woven Into Everyday Practice</w:t>
            </w:r>
          </w:p>
          <w:p>
            <w:pPr>
              <w:pStyle w:val="ListParagraph"/>
              <w:numPr>
                <w:ilvl w:val="0"/>
                <w:numId w:val="3"/>
              </w:numPr>
              <w:spacing w:after="40" w:line="240"/>
            </w:pPr>
            <w:r>
              <w:rPr>
                <w:rFonts w:ascii="Arial" w:cs="Arial" w:eastAsia="Arial" w:hAnsi="Arial"/>
                <w:color w:val="262626"/>
                <w:sz w:val="16"/>
                <w:szCs w:val="16"/>
              </w:rPr>
              <w:t xml:space="preserve">PSHE curriculum: democracy, rule of law, equality, online safety, critical thinking, extremism and exploitation.</w:t>
            </w:r>
          </w:p>
          <w:p>
            <w:pPr>
              <w:pStyle w:val="ListParagraph"/>
              <w:numPr>
                <w:ilvl w:val="0"/>
                <w:numId w:val="3"/>
              </w:numPr>
              <w:spacing w:after="40" w:line="240"/>
            </w:pPr>
            <w:r>
              <w:rPr>
                <w:rFonts w:ascii="Arial" w:cs="Arial" w:eastAsia="Arial" w:hAnsi="Arial"/>
                <w:color w:val="262626"/>
                <w:sz w:val="16"/>
                <w:szCs w:val="16"/>
              </w:rPr>
              <w:t xml:space="preserve">Model the five values yourself — in how you talk, listen and resolve disagreements.</w:t>
            </w:r>
          </w:p>
          <w:p>
            <w:pPr>
              <w:pStyle w:val="ListParagraph"/>
              <w:numPr>
                <w:ilvl w:val="0"/>
                <w:numId w:val="3"/>
              </w:numPr>
              <w:spacing w:after="40" w:line="240"/>
            </w:pPr>
            <w:r>
              <w:rPr>
                <w:rFonts w:ascii="Arial" w:cs="Arial" w:eastAsia="Arial" w:hAnsi="Arial"/>
                <w:color w:val="262626"/>
                <w:sz w:val="16"/>
                <w:szCs w:val="16"/>
              </w:rPr>
              <w:t xml:space="preserve">Create safe space for debate — don't shut down difficult topics, guide them.</w:t>
            </w:r>
          </w:p>
        </w:tc>
      </w:tr>
      <w:tr>
        <w:tc>
          <w:tcPr>
            <w:tcW w:type="pct" w:w="100%"/>
            <w:tcMar>
              <w:top w:type="dxa" w:w="120"/>
              <w:left w:type="dxa" w:w="180"/>
              <w:bottom w:type="dxa" w:w="120"/>
              <w:right w:type="dxa" w:w="180"/>
            </w:tcMar>
          </w:tcPr>
          <w:p>
            <w:pPr>
              <w:spacing w:after="60" w:before="140"/>
            </w:pPr>
            <w:r>
              <w:rPr>
                <w:rFonts w:ascii="Arial" w:cs="Arial" w:eastAsia="Arial" w:hAnsi="Arial"/>
                <w:b/>
                <w:bCs/>
                <w:color w:val="5B2D8E"/>
                <w:sz w:val="19"/>
                <w:szCs w:val="19"/>
              </w:rPr>
              <w:t xml:space="preserve">Training</w:t>
            </w:r>
          </w:p>
          <w:p>
            <w:pPr>
              <w:pStyle w:val="ListParagraph"/>
              <w:numPr>
                <w:ilvl w:val="0"/>
                <w:numId w:val="3"/>
              </w:numPr>
              <w:spacing w:after="40" w:line="240"/>
            </w:pPr>
            <w:r>
              <w:rPr>
                <w:rFonts w:ascii="Arial" w:cs="Arial" w:eastAsia="Arial" w:hAnsi="Arial"/>
                <w:color w:val="262626"/>
                <w:sz w:val="16"/>
                <w:szCs w:val="16"/>
              </w:rPr>
              <w:t xml:space="preserve">All staff: safeguarding and Prevent training at induction, refreshed annually.</w:t>
            </w:r>
          </w:p>
          <w:p>
            <w:pPr>
              <w:pStyle w:val="ListParagraph"/>
              <w:numPr>
                <w:ilvl w:val="0"/>
                <w:numId w:val="3"/>
              </w:numPr>
              <w:spacing w:after="40" w:line="240"/>
            </w:pPr>
            <w:r>
              <w:rPr>
                <w:rFonts w:ascii="Arial" w:cs="Arial" w:eastAsia="Arial" w:hAnsi="Arial"/>
                <w:color w:val="262626"/>
                <w:sz w:val="16"/>
                <w:szCs w:val="16"/>
              </w:rPr>
              <w:t xml:space="preserve">DSLs: refreshed at least every 2 years.</w:t>
            </w:r>
          </w:p>
        </w:tc>
      </w:tr>
    </w:tbl>
    <w:p>
      <w:pPr>
        <w:spacing w:before="200"/>
        <w:jc w:val="center"/>
      </w:pPr>
      <w:r>
        <w:rPr>
          <w:rFonts w:ascii="Arial" w:cs="Arial" w:eastAsia="Arial" w:hAnsi="Arial"/>
          <w:b/>
          <w:bCs/>
          <w:i/>
          <w:iCs/>
          <w:color w:val="C9A84C"/>
          <w:sz w:val="18"/>
          <w:szCs w:val="18"/>
        </w:rPr>
        <w:t xml:space="preserve">Model it daily. Watch for it always. Never handle it alone.</w:t>
      </w:r>
    </w:p>
    <w:sectPr>
      <w:headerReference w:type="default" r:id="rId7"/>
      <w:footerReference w:type="default" r:id="rId8"/>
      <w:pgSz w:w="11906" w:h="16838" w:orient="portrait"/>
      <w:pgMar w:top="1300" w:right="1100" w:bottom="1300" w:left="110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A84C" w:sz="8" w:space="4"/>
      </w:pBdr>
      <w:spacing w:before="80"/>
    </w:pPr>
  </w:p>
  <w:p>
    <w:pPr>
      <w:jc w:val="center"/>
    </w:pPr>
    <w:r>
      <w:rPr>
        <w:rFonts w:ascii="Arial" w:cs="Arial" w:eastAsia="Arial" w:hAnsi="Arial"/>
        <w:i/>
        <w:iCs/>
        <w:color w:val="5B2D8E"/>
        <w:sz w:val="16"/>
        <w:szCs w:val="16"/>
      </w:rPr>
      <w:t xml:space="preserve">Educating Minds, Soaring High.</w:t>
    </w:r>
    <w:r>
      <w:rPr>
        <w:rFonts w:ascii="Arial" w:cs="Arial" w:eastAsia="Arial" w:hAnsi="Arial"/>
        <w:color w:val="262626"/>
        <w:sz w:val="16"/>
        <w:szCs w:val="16"/>
      </w:rPr>
      <w:t xml:space="preserve">   |   Page </w:t>
    </w:r>
    <w:r>
      <w:rPr>
        <w:rFonts w:ascii="Arial" w:cs="Arial" w:eastAsia="Arial" w:hAnsi="Arial"/>
        <w:color w:val="262626"/>
        <w:sz w:val="16"/>
        <w:szCs w:val="16"/>
      </w:rPr>
      <w:fldChar w:fldCharType="begin"/>
      <w:instrText xml:space="preserve">PAGE</w:instrText>
      <w:fldChar w:fldCharType="separate"/>
      <w:fldChar w:fldCharType="end"/>
    </w:r>
    <w:r>
      <w:rPr>
        <w:rFonts w:ascii="Arial" w:cs="Arial" w:eastAsia="Arial" w:hAnsi="Arial"/>
        <w:color w:val="262626"/>
        <w:sz w:val="16"/>
        <w:szCs w:val="16"/>
      </w:rPr>
      <w:t xml:space="preserve"> of </w:t>
    </w:r>
    <w:r>
      <w:rPr>
        <w:rFonts w:ascii="Arial" w:cs="Arial" w:eastAsia="Arial" w:hAnsi="Arial"/>
        <w:color w:val="26262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72"/>
      </w:tabs>
      <w:jc w:val="left"/>
    </w:pPr>
    <w:r>
      <w:drawing>
        <wp:inline distT="0" distB="0" distL="0" distR="0">
          <wp:extent cx="142875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161925"/>
                  </a:xfrm>
                  <a:prstGeom prst="rect">
                    <a:avLst/>
                  </a:prstGeom>
                </pic:spPr>
              </pic:pic>
            </a:graphicData>
          </a:graphic>
        </wp:inline>
      </w:drawing>
    </w:r>
    <w:r>
      <w:rPr>
        <w:rFonts w:ascii="Arial" w:cs="Arial" w:eastAsia="Arial" w:hAnsi="Arial"/>
        <w:b/>
        <w:bCs/>
        <w:color w:val="5B2D8E"/>
        <w:sz w:val="16"/>
        <w:szCs w:val="16"/>
      </w:rPr>
      <w:t xml:space="preserve">	British Values &amp; Prevent Duty Statement</w:t>
    </w:r>
  </w:p>
  <w:p>
    <w:pPr>
      <w:pBdr>
        <w:bottom w:val="single" w:color="C9A84C" w:sz="8" w:space="2"/>
      </w:pBd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decimal"/>
      <w:lvlText w:val="%1."/>
      <w:lvlJc w:val="left"/>
      <w:pPr>
        <w:ind w:left="460" w:hanging="260"/>
      </w:pPr>
    </w:lvl>
  </w:abstractNum>
  <w:abstractNum w:abstractNumId="4" w15:restartNumberingAfterBreak="0">
    <w:multiLevelType w:val="hybridMultilevel"/>
    <w:lvl w:ilvl="0" w15:tentative="1">
      <w:start w:val="1"/>
      <w:numFmt w:val="bullet"/>
      <w:lvlText w:val="•"/>
      <w:lvlJc w:val="left"/>
      <w:pPr>
        <w:ind w:left="260" w:hanging="18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62626"/>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60" w:before="360"/>
    </w:pPr>
    <w:rPr>
      <w:rFonts w:ascii="Arial" w:cs="Arial" w:eastAsia="Arial" w:hAnsi="Arial"/>
      <w:b/>
      <w:bCs/>
      <w:color w:val="5B2D8E"/>
      <w:sz w:val="30"/>
      <w:szCs w:val="30"/>
    </w:rPr>
  </w:style>
  <w:style w:type="paragraph" w:styleId="Heading2">
    <w:name w:val="Heading 2"/>
    <w:basedOn w:val="Normal"/>
    <w:next w:val="Normal"/>
    <w:qFormat/>
    <w:pPr>
      <w:spacing w:after="120" w:before="260"/>
    </w:pPr>
    <w:rPr>
      <w:rFonts w:ascii="Arial" w:cs="Arial" w:eastAsia="Arial" w:hAnsi="Arial"/>
      <w:b/>
      <w:bCs/>
      <w:color w:val="C9A84C"/>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7feb4bbf2ccedbd04ee765e1f449707f947551e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feb4bbf2ccedbd04ee765e1f449707f947551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2026-07-13T18:00:56.370Z</dcterms:created>
  <dcterms:modified xsi:type="dcterms:W3CDTF">2026-07-13T18:00:56.385Z</dcterms:modified>
</cp:coreProperties>
</file>

<file path=docProps/custom.xml><?xml version="1.0" encoding="utf-8"?>
<Properties xmlns="http://schemas.openxmlformats.org/officeDocument/2006/custom-properties" xmlns:vt="http://schemas.openxmlformats.org/officeDocument/2006/docPropsVTypes"/>
</file>